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8" w:rsidRPr="00EE48A9" w:rsidRDefault="00782B98" w:rsidP="00782B98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EE48A9">
        <w:rPr>
          <w:rFonts w:ascii="仿宋" w:eastAsia="仿宋" w:hAnsi="仿宋" w:hint="eastAsia"/>
          <w:b/>
          <w:sz w:val="48"/>
          <w:szCs w:val="48"/>
        </w:rPr>
        <w:t xml:space="preserve">   </w:t>
      </w:r>
      <w:r w:rsidRPr="00EE48A9">
        <w:rPr>
          <w:rFonts w:ascii="仿宋" w:eastAsia="仿宋" w:hAnsi="仿宋" w:hint="eastAsia"/>
          <w:b/>
          <w:sz w:val="36"/>
          <w:szCs w:val="36"/>
        </w:rPr>
        <w:t>拟拍</w:t>
      </w:r>
      <w:r>
        <w:rPr>
          <w:rFonts w:ascii="仿宋" w:eastAsia="仿宋" w:hAnsi="仿宋" w:hint="eastAsia"/>
          <w:b/>
          <w:sz w:val="36"/>
          <w:szCs w:val="36"/>
        </w:rPr>
        <w:t>卖</w:t>
      </w:r>
      <w:r w:rsidR="000E0FC4">
        <w:rPr>
          <w:rFonts w:ascii="仿宋" w:eastAsia="仿宋" w:hAnsi="仿宋" w:hint="eastAsia"/>
          <w:b/>
          <w:sz w:val="36"/>
          <w:szCs w:val="36"/>
        </w:rPr>
        <w:t>电梯</w:t>
      </w:r>
      <w:r w:rsidRPr="00EE48A9">
        <w:rPr>
          <w:rFonts w:ascii="仿宋" w:eastAsia="仿宋" w:hAnsi="仿宋" w:hint="eastAsia"/>
          <w:b/>
          <w:sz w:val="36"/>
          <w:szCs w:val="36"/>
        </w:rPr>
        <w:t>询价报告书</w:t>
      </w:r>
    </w:p>
    <w:p w:rsidR="00782B98" w:rsidRPr="00EE48A9" w:rsidRDefault="00782B98" w:rsidP="00782B98">
      <w:pPr>
        <w:spacing w:line="380" w:lineRule="exact"/>
        <w:ind w:firstLineChars="1410" w:firstLine="2973"/>
        <w:rPr>
          <w:rFonts w:ascii="仿宋" w:eastAsia="仿宋" w:hAnsi="仿宋"/>
          <w:b/>
          <w:szCs w:val="21"/>
        </w:rPr>
      </w:pPr>
      <w:r w:rsidRPr="00EE48A9">
        <w:rPr>
          <w:rFonts w:ascii="仿宋" w:eastAsia="仿宋" w:hAnsi="仿宋" w:hint="eastAsia"/>
          <w:b/>
          <w:szCs w:val="21"/>
        </w:rPr>
        <w:t>正衡（山东）询字[2018]jn</w:t>
      </w:r>
      <w:r w:rsidR="000F0D69">
        <w:rPr>
          <w:rFonts w:ascii="仿宋" w:eastAsia="仿宋" w:hAnsi="仿宋" w:hint="eastAsia"/>
          <w:b/>
          <w:szCs w:val="21"/>
        </w:rPr>
        <w:t>101</w:t>
      </w:r>
      <w:r w:rsidR="0077404C">
        <w:rPr>
          <w:rFonts w:ascii="仿宋" w:eastAsia="仿宋" w:hAnsi="仿宋" w:hint="eastAsia"/>
          <w:b/>
          <w:szCs w:val="21"/>
        </w:rPr>
        <w:t>5</w:t>
      </w:r>
      <w:r w:rsidR="009C2FD7">
        <w:rPr>
          <w:rFonts w:ascii="仿宋" w:eastAsia="仿宋" w:hAnsi="仿宋" w:hint="eastAsia"/>
          <w:b/>
          <w:szCs w:val="21"/>
        </w:rPr>
        <w:t>-</w:t>
      </w:r>
      <w:r w:rsidR="0077404C">
        <w:rPr>
          <w:rFonts w:ascii="仿宋" w:eastAsia="仿宋" w:hAnsi="仿宋" w:hint="eastAsia"/>
          <w:b/>
          <w:szCs w:val="21"/>
        </w:rPr>
        <w:t>6</w:t>
      </w:r>
      <w:r w:rsidRPr="00EE48A9">
        <w:rPr>
          <w:rFonts w:ascii="仿宋" w:eastAsia="仿宋" w:hAnsi="仿宋" w:hint="eastAsia"/>
          <w:b/>
          <w:szCs w:val="21"/>
        </w:rPr>
        <w:t>号</w:t>
      </w:r>
    </w:p>
    <w:p w:rsidR="00782B98" w:rsidRPr="00EE48A9" w:rsidRDefault="00782B98" w:rsidP="00782B98">
      <w:pPr>
        <w:spacing w:line="380" w:lineRule="exact"/>
        <w:jc w:val="center"/>
        <w:rPr>
          <w:rFonts w:ascii="仿宋" w:eastAsia="仿宋" w:hAnsi="仿宋"/>
          <w:b/>
          <w:sz w:val="36"/>
        </w:rPr>
      </w:pP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询价委托人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询价目的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为网络司法拍卖提供价值参考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pacing w:val="-4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</w:t>
      </w:r>
      <w:r>
        <w:rPr>
          <w:rFonts w:ascii="仿宋" w:eastAsia="仿宋" w:hAnsi="仿宋" w:hint="eastAsia"/>
          <w:b/>
          <w:sz w:val="30"/>
          <w:szCs w:val="30"/>
        </w:rPr>
        <w:t>价</w:t>
      </w:r>
      <w:r w:rsidRPr="00EE48A9">
        <w:rPr>
          <w:rFonts w:ascii="仿宋" w:eastAsia="仿宋" w:hAnsi="仿宋" w:hint="eastAsia"/>
          <w:b/>
          <w:sz w:val="30"/>
          <w:szCs w:val="30"/>
        </w:rPr>
        <w:t>基准日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pacing w:val="-4"/>
          <w:sz w:val="28"/>
        </w:rPr>
        <w:t>二〇一八年</w:t>
      </w:r>
      <w:r>
        <w:rPr>
          <w:rFonts w:ascii="仿宋" w:eastAsia="仿宋" w:hAnsi="仿宋" w:hint="eastAsia"/>
          <w:spacing w:val="-4"/>
          <w:sz w:val="28"/>
        </w:rPr>
        <w:t>九</w:t>
      </w:r>
      <w:r w:rsidRPr="00EE48A9">
        <w:rPr>
          <w:rFonts w:ascii="仿宋" w:eastAsia="仿宋" w:hAnsi="仿宋" w:hint="eastAsia"/>
          <w:spacing w:val="-4"/>
          <w:sz w:val="28"/>
        </w:rPr>
        <w:t>月</w:t>
      </w:r>
      <w:r w:rsidR="00D07059">
        <w:rPr>
          <w:rFonts w:ascii="仿宋" w:eastAsia="仿宋" w:hAnsi="仿宋" w:hint="eastAsia"/>
          <w:spacing w:val="-4"/>
          <w:sz w:val="28"/>
        </w:rPr>
        <w:t>三十</w:t>
      </w:r>
      <w:r w:rsidRPr="00EE48A9">
        <w:rPr>
          <w:rFonts w:ascii="仿宋" w:eastAsia="仿宋" w:hAnsi="仿宋" w:hint="eastAsia"/>
          <w:spacing w:val="-4"/>
          <w:sz w:val="28"/>
        </w:rPr>
        <w:t>日（完成估价对象现场查勘之日）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询价依据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1、《资产评估准则—基本准则》 (财企[2004]20 号);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140" w:left="434" w:hangingChars="50" w:hanging="14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 2、《资产评估职业道德准则——基本准则》(财企[2004]20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3、《资产评估准则——评估报告》(中评协[2007]189 号)；   </w:t>
      </w:r>
    </w:p>
    <w:p w:rsidR="00782B98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4、《资产评估价值类型指导意见》(中评协[2007]189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5、询价委托人提供的相关资料和数据；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80" w:lineRule="atLeas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、资产评估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人员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实地查勘的资料。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五、询价对象概况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本次评估设备为</w:t>
      </w:r>
      <w:r w:rsidR="000F0D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济宁华东酒店管理有限公司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</w:t>
      </w:r>
      <w:r w:rsidR="00D0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0F0D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济宁</w:t>
      </w:r>
      <w:r w:rsidR="00D0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</w:t>
      </w:r>
      <w:r w:rsidR="000F0D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高新区东外环路</w:t>
      </w:r>
      <w:r w:rsidR="00D0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房屋的电梯3台</w:t>
      </w:r>
      <w:r w:rsidR="000E0F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</w:t>
      </w:r>
      <w:r w:rsidR="000E0F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电梯</w:t>
      </w:r>
      <w:r w:rsidR="000F0D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运行</w:t>
      </w:r>
      <w:r w:rsidR="000E0F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正常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D0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电梯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维修、保养状况</w:t>
      </w:r>
      <w:r w:rsidR="000F0D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好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六、询价方法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市场法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七、询价结果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07" w:left="435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我公司根据</w:t>
      </w:r>
      <w:r>
        <w:rPr>
          <w:rFonts w:ascii="仿宋" w:eastAsia="仿宋" w:hAnsi="仿宋" w:hint="eastAsia"/>
          <w:sz w:val="28"/>
        </w:rPr>
        <w:t>询价</w:t>
      </w:r>
      <w:r w:rsidRPr="00EE48A9">
        <w:rPr>
          <w:rFonts w:ascii="仿宋" w:eastAsia="仿宋" w:hAnsi="仿宋" w:hint="eastAsia"/>
          <w:sz w:val="28"/>
        </w:rPr>
        <w:t>目的，遵循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价原则，采用科学合理的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价方法，最终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确定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价对象在基准日的评估净值为：</w:t>
      </w:r>
      <w:r w:rsidR="00D07059">
        <w:rPr>
          <w:rFonts w:ascii="仿宋" w:eastAsia="仿宋" w:hAnsi="仿宋" w:hint="eastAsia"/>
          <w:sz w:val="28"/>
        </w:rPr>
        <w:t>313200</w:t>
      </w:r>
      <w:r w:rsidRPr="00EE48A9">
        <w:rPr>
          <w:rFonts w:ascii="仿宋" w:eastAsia="仿宋" w:hAnsi="仿宋" w:hint="eastAsia"/>
          <w:sz w:val="28"/>
        </w:rPr>
        <w:t>元，</w:t>
      </w:r>
      <w:r>
        <w:rPr>
          <w:rFonts w:ascii="仿宋" w:eastAsia="仿宋" w:hAnsi="仿宋" w:hint="eastAsia"/>
          <w:sz w:val="28"/>
        </w:rPr>
        <w:t>大写</w:t>
      </w:r>
      <w:r w:rsidR="00D07059">
        <w:rPr>
          <w:rFonts w:ascii="仿宋" w:eastAsia="仿宋" w:hAnsi="仿宋" w:hint="eastAsia"/>
          <w:sz w:val="28"/>
        </w:rPr>
        <w:t>叁拾壹万叁仟贰佰</w:t>
      </w:r>
      <w:r w:rsidRPr="00EE48A9">
        <w:rPr>
          <w:rFonts w:ascii="仿宋" w:eastAsia="仿宋" w:hAnsi="仿宋" w:hint="eastAsia"/>
          <w:sz w:val="28"/>
        </w:rPr>
        <w:t>元整。（详见明细表）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八、报告有效期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  <w:szCs w:val="28"/>
        </w:rPr>
        <w:t>本报告使用有效期为12个月，自2018年</w:t>
      </w:r>
      <w:r w:rsidR="000F0D69">
        <w:rPr>
          <w:rFonts w:ascii="仿宋" w:eastAsia="仿宋" w:hAnsi="仿宋" w:hint="eastAsia"/>
          <w:sz w:val="28"/>
          <w:szCs w:val="28"/>
        </w:rPr>
        <w:t>10</w:t>
      </w:r>
      <w:r w:rsidRPr="00EE48A9">
        <w:rPr>
          <w:rFonts w:ascii="仿宋" w:eastAsia="仿宋" w:hAnsi="仿宋" w:hint="eastAsia"/>
          <w:sz w:val="28"/>
          <w:szCs w:val="28"/>
        </w:rPr>
        <w:t>月</w:t>
      </w:r>
      <w:r w:rsidR="009C2FD7">
        <w:rPr>
          <w:rFonts w:ascii="仿宋" w:eastAsia="仿宋" w:hAnsi="仿宋" w:hint="eastAsia"/>
          <w:sz w:val="28"/>
          <w:szCs w:val="28"/>
        </w:rPr>
        <w:t>1</w:t>
      </w:r>
      <w:r w:rsidR="0077404C">
        <w:rPr>
          <w:rFonts w:ascii="仿宋" w:eastAsia="仿宋" w:hAnsi="仿宋" w:hint="eastAsia"/>
          <w:sz w:val="28"/>
          <w:szCs w:val="28"/>
        </w:rPr>
        <w:t>5</w:t>
      </w:r>
      <w:r w:rsidRPr="00EE48A9">
        <w:rPr>
          <w:rFonts w:ascii="仿宋" w:eastAsia="仿宋" w:hAnsi="仿宋" w:hint="eastAsia"/>
          <w:sz w:val="28"/>
          <w:szCs w:val="28"/>
        </w:rPr>
        <w:t>日起至2019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EE48A9">
        <w:rPr>
          <w:rFonts w:ascii="仿宋" w:eastAsia="仿宋" w:hAnsi="仿宋" w:hint="eastAsia"/>
          <w:sz w:val="28"/>
          <w:szCs w:val="28"/>
        </w:rPr>
        <w:t>年</w:t>
      </w:r>
      <w:r w:rsidR="000F0D69">
        <w:rPr>
          <w:rFonts w:ascii="仿宋" w:eastAsia="仿宋" w:hAnsi="仿宋" w:hint="eastAsia"/>
          <w:sz w:val="28"/>
          <w:szCs w:val="28"/>
        </w:rPr>
        <w:t>10</w:t>
      </w:r>
      <w:r w:rsidRPr="00EE48A9">
        <w:rPr>
          <w:rFonts w:ascii="仿宋" w:eastAsia="仿宋" w:hAnsi="仿宋" w:hint="eastAsia"/>
          <w:sz w:val="28"/>
          <w:szCs w:val="28"/>
        </w:rPr>
        <w:t>月</w:t>
      </w:r>
      <w:r w:rsidR="009C2FD7">
        <w:rPr>
          <w:rFonts w:ascii="仿宋" w:eastAsia="仿宋" w:hAnsi="仿宋" w:hint="eastAsia"/>
          <w:sz w:val="28"/>
          <w:szCs w:val="28"/>
        </w:rPr>
        <w:t>1</w:t>
      </w:r>
      <w:r w:rsidR="0077404C">
        <w:rPr>
          <w:rFonts w:ascii="仿宋" w:eastAsia="仿宋" w:hAnsi="仿宋" w:hint="eastAsia"/>
          <w:sz w:val="28"/>
          <w:szCs w:val="28"/>
        </w:rPr>
        <w:t>4</w:t>
      </w:r>
      <w:r w:rsidRPr="00EE48A9">
        <w:rPr>
          <w:rFonts w:ascii="仿宋" w:eastAsia="仿宋" w:hAnsi="仿宋" w:hint="eastAsia"/>
          <w:sz w:val="28"/>
          <w:szCs w:val="28"/>
        </w:rPr>
        <w:t>日止。</w:t>
      </w:r>
    </w:p>
    <w:p w:rsidR="00782B98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特别提示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本询价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结果为拍卖参考底价，不具有法律强制性，也不作为成交的直接依据，成交与否由双方协商确定。</w:t>
      </w:r>
    </w:p>
    <w:p w:rsidR="00782B98" w:rsidRPr="002149C6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82B98" w:rsidRPr="00EE48A9" w:rsidRDefault="00782B98" w:rsidP="00782B98">
      <w:pPr>
        <w:spacing w:line="440" w:lineRule="exact"/>
        <w:ind w:firstLineChars="1650" w:firstLine="4620"/>
        <w:rPr>
          <w:rFonts w:ascii="仿宋" w:eastAsia="仿宋" w:hAnsi="仿宋"/>
          <w:sz w:val="28"/>
        </w:rPr>
      </w:pPr>
    </w:p>
    <w:p w:rsidR="00782B98" w:rsidRPr="00EE48A9" w:rsidRDefault="00782B98" w:rsidP="00782B98">
      <w:pPr>
        <w:tabs>
          <w:tab w:val="left" w:pos="5235"/>
        </w:tabs>
        <w:spacing w:line="460" w:lineRule="exact"/>
        <w:ind w:leftChars="2199" w:left="5525" w:hangingChars="324" w:hanging="907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 xml:space="preserve">正衡资产评估（山东）有限公司 </w:t>
      </w:r>
      <w:r w:rsidRPr="00EE48A9"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="000F0D69">
        <w:rPr>
          <w:rFonts w:ascii="仿宋" w:eastAsia="仿宋" w:hAnsi="仿宋" w:hint="eastAsia"/>
          <w:sz w:val="28"/>
        </w:rPr>
        <w:t>二〇一八年十</w:t>
      </w:r>
      <w:r w:rsidRPr="00EE48A9">
        <w:rPr>
          <w:rFonts w:ascii="仿宋" w:eastAsia="仿宋" w:hAnsi="仿宋" w:hint="eastAsia"/>
          <w:sz w:val="28"/>
        </w:rPr>
        <w:t>月</w:t>
      </w:r>
      <w:r w:rsidR="0077404C">
        <w:rPr>
          <w:rFonts w:ascii="仿宋" w:eastAsia="仿宋" w:hAnsi="仿宋" w:hint="eastAsia"/>
          <w:sz w:val="28"/>
        </w:rPr>
        <w:t>十五</w:t>
      </w:r>
      <w:r w:rsidRPr="00EE48A9">
        <w:rPr>
          <w:rFonts w:ascii="仿宋" w:eastAsia="仿宋" w:hAnsi="仿宋" w:hint="eastAsia"/>
          <w:sz w:val="28"/>
        </w:rPr>
        <w:t>日</w:t>
      </w:r>
    </w:p>
    <w:p w:rsidR="006E5392" w:rsidRPr="0077404C" w:rsidRDefault="006E5392"/>
    <w:sectPr w:rsidR="006E5392" w:rsidRPr="0077404C" w:rsidSect="001777E8">
      <w:headerReference w:type="default" r:id="rId7"/>
      <w:footerReference w:type="default" r:id="rId8"/>
      <w:pgSz w:w="11906" w:h="16838"/>
      <w:pgMar w:top="1043" w:right="1274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6C" w:rsidRDefault="00A14E6C" w:rsidP="00782B98">
      <w:r>
        <w:separator/>
      </w:r>
    </w:p>
  </w:endnote>
  <w:endnote w:type="continuationSeparator" w:id="1">
    <w:p w:rsidR="00A14E6C" w:rsidRDefault="00A14E6C" w:rsidP="0078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04C" w:rsidRDefault="0077404C" w:rsidP="0077404C">
    <w:pPr>
      <w:pStyle w:val="a4"/>
      <w:jc w:val="right"/>
    </w:pPr>
    <w:r>
      <w:rPr>
        <w:rFonts w:hint="eastAsia"/>
      </w:rPr>
      <w:t>联系电话：</w:t>
    </w:r>
    <w:r>
      <w:rPr>
        <w:rFonts w:hint="eastAsia"/>
      </w:rPr>
      <w:t>0537-2511399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6C" w:rsidRDefault="00A14E6C" w:rsidP="00782B98">
      <w:r>
        <w:separator/>
      </w:r>
    </w:p>
  </w:footnote>
  <w:footnote w:type="continuationSeparator" w:id="1">
    <w:p w:rsidR="00A14E6C" w:rsidRDefault="00A14E6C" w:rsidP="0078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E" w:rsidRDefault="00A14E6C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BF2C6BC8"/>
    <w:lvl w:ilvl="0" w:tplc="311A41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B98"/>
    <w:rsid w:val="000E0FC4"/>
    <w:rsid w:val="000F0D69"/>
    <w:rsid w:val="0012065E"/>
    <w:rsid w:val="00154709"/>
    <w:rsid w:val="001F206B"/>
    <w:rsid w:val="002F3E1B"/>
    <w:rsid w:val="005562C8"/>
    <w:rsid w:val="006B4008"/>
    <w:rsid w:val="006E5392"/>
    <w:rsid w:val="0077404C"/>
    <w:rsid w:val="00782B98"/>
    <w:rsid w:val="00786692"/>
    <w:rsid w:val="007877D4"/>
    <w:rsid w:val="009C2FD7"/>
    <w:rsid w:val="00A14E6C"/>
    <w:rsid w:val="00A16DD5"/>
    <w:rsid w:val="00BA76C2"/>
    <w:rsid w:val="00C339AA"/>
    <w:rsid w:val="00D07059"/>
    <w:rsid w:val="00F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B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40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40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2018-09-06T07:04:00Z</dcterms:created>
  <dcterms:modified xsi:type="dcterms:W3CDTF">2018-10-15T08:30:00Z</dcterms:modified>
</cp:coreProperties>
</file>