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exact" w:line="440" w:before="0" w:after="0"/>
        <w:ind w:right="0" w:firstLine="0"/>
        <w:rPr>
          <w:b w:val="1"/>
          <w:color w:val="auto"/>
          <w:position w:val="0"/>
          <w:sz w:val="36"/>
          <w:szCs w:val="36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48"/>
          <w:szCs w:val="48"/>
          <w:rFonts w:ascii="仿宋" w:eastAsia="仿宋" w:hAnsi="仿宋" w:hint="default"/>
        </w:rPr>
        <w:t xml:space="preserve">  </w:t>
      </w:r>
      <w:r>
        <w:rPr>
          <w:b w:val="1"/>
          <w:color w:val="auto"/>
          <w:position w:val="0"/>
          <w:sz w:val="36"/>
          <w:szCs w:val="36"/>
          <w:rFonts w:ascii="仿宋" w:eastAsia="仿宋" w:hAnsi="仿宋" w:hint="default"/>
        </w:rPr>
        <w:t>拟拍卖房地产询价报告书</w:t>
      </w:r>
    </w:p>
    <w:p>
      <w:pPr>
        <w:numPr>
          <w:ilvl w:val="0"/>
          <w:numId w:val="0"/>
        </w:numPr>
        <w:jc w:val="both"/>
        <w:spacing w:lineRule="exact" w:line="380" w:before="0" w:after="0"/>
        <w:ind w:right="0" w:firstLine="3179"/>
        <w:rPr>
          <w:b w:val="1"/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仿宋" w:eastAsia="仿宋" w:hAnsi="仿宋" w:hint="default"/>
        </w:rPr>
        <w:t>鲁中大恒正询字[2018]jn0824-32号</w:t>
      </w:r>
    </w:p>
    <w:p>
      <w:pPr>
        <w:bidi w:val="0"/>
        <w:numPr>
          <w:ilvl w:val="0"/>
          <w:numId w:val="1"/>
        </w:numPr>
        <w:jc w:val="both"/>
        <w:spacing w:lineRule="exact" w:line="440" w:before="0" w:after="0"/>
        <w:ind w:left="861" w:right="0" w:hanging="720"/>
        <w:tabs>
          <w:tab w:val="left" w:pos="861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>询价委托人：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山东产权交易中心有限公司（网络司法拍卖辅助机构）</w:t>
      </w:r>
    </w:p>
    <w:p>
      <w:pPr>
        <w:bidi w:val="0"/>
        <w:numPr>
          <w:ilvl w:val="0"/>
          <w:numId w:val="1"/>
        </w:numPr>
        <w:jc w:val="both"/>
        <w:spacing w:lineRule="exact" w:line="440" w:before="0" w:after="0"/>
        <w:ind w:left="861" w:right="0" w:hanging="720"/>
        <w:tabs>
          <w:tab w:val="left" w:pos="861"/>
        </w:tabs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>询价目的：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为网络司法拍卖提供价值参考</w:t>
      </w:r>
    </w:p>
    <w:p>
      <w:pPr>
        <w:bidi w:val="0"/>
        <w:numPr>
          <w:ilvl w:val="0"/>
          <w:numId w:val="1"/>
        </w:numPr>
        <w:jc w:val="both"/>
        <w:spacing w:lineRule="exact" w:line="440" w:before="0" w:after="0"/>
        <w:ind w:left="861" w:right="0" w:hanging="720"/>
        <w:tabs>
          <w:tab w:val="left" w:pos="861"/>
        </w:tabs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 xml:space="preserve">询价对象： 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1384"/>
        <w:gridCol w:w="79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46"/>
          <w:hidden w:val="0"/>
        </w:trPr>
        <w:tc>
          <w:tcPr>
            <w:tcW w:type="dxa" w:w="138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位置状况</w:t>
            </w:r>
          </w:p>
        </w:tc>
        <w:tc>
          <w:tcPr>
            <w:tcW w:type="dxa" w:w="7972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4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西安市雁塔区雁翔路99号康桥边的院子第1幢楼三单元30402号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32"/>
          <w:hidden w:val="0"/>
        </w:trPr>
        <w:tc>
          <w:tcPr>
            <w:tcW w:type="dxa" w:w="138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实体状况</w:t>
            </w:r>
          </w:p>
        </w:tc>
        <w:tc>
          <w:tcPr>
            <w:tcW w:type="dxa" w:w="797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24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询价对象房屋建筑面积135.17平方米；总层数为15层，询价对象所在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层为4层；建筑结构为钢混；外墙刷真石漆，入户门为防盗门。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36"/>
          <w:hidden w:val="0"/>
        </w:trPr>
        <w:tc>
          <w:tcPr>
            <w:tcW w:type="dxa" w:w="138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权属状况</w:t>
            </w:r>
          </w:p>
        </w:tc>
        <w:tc>
          <w:tcPr>
            <w:tcW w:type="dxa" w:w="797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24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询价对象房屋所有人为屈小荣，取得方式为法院判决，规划用途为住宅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，《不动产权证书》证号为1175104011-11-1-1-30402～2，不动产单元号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为610113008003GB00029F00010130。</w:t>
            </w:r>
          </w:p>
        </w:tc>
      </w:tr>
    </w:tbl>
    <w:p>
      <w:pPr>
        <w:bidi w:val="0"/>
        <w:numPr>
          <w:ilvl w:val="0"/>
          <w:numId w:val="1"/>
        </w:numPr>
        <w:jc w:val="both"/>
        <w:spacing w:lineRule="exact" w:line="440" w:before="0" w:after="0"/>
        <w:ind w:left="861" w:right="0" w:hanging="720"/>
        <w:tabs>
          <w:tab w:val="left" w:pos="861"/>
        </w:tabs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>价值时点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：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2018年8月22日（完成询价对象现场查勘之日）</w:t>
      </w:r>
    </w:p>
    <w:p>
      <w:pPr>
        <w:bidi w:val="0"/>
        <w:numPr>
          <w:ilvl w:val="0"/>
          <w:numId w:val="1"/>
        </w:numPr>
        <w:jc w:val="both"/>
        <w:spacing w:lineRule="exact" w:line="440" w:before="0" w:after="0"/>
        <w:ind w:left="861" w:right="0" w:hanging="720"/>
        <w:tabs>
          <w:tab w:val="left" w:pos="861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>价值类型：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市场价值</w:t>
      </w:r>
    </w:p>
    <w:p>
      <w:pPr>
        <w:numPr>
          <w:ilvl w:val="0"/>
          <w:numId w:val="0"/>
        </w:numPr>
        <w:jc w:val="both"/>
        <w:spacing w:lineRule="exact" w:line="440" w:before="0" w:after="0"/>
        <w:ind w:left="142" w:right="0" w:firstLine="0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</w:tabs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snapToGrid w:val="off"/>
        <w:autoSpaceDE w:val="0"/>
        <w:autoSpaceDN w:val="0"/>
      </w:pPr>
      <w:bookmarkStart w:id="1" w:name="_Toc256000010"/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 xml:space="preserve">六、 询价依据</w:t>
      </w:r>
      <w:bookmarkEnd w:id="1"/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>: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5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1、《中华人民共和国城市房地产管理法》；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5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2、《中华人民共和国土地管理法》；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5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3、《中华人民共和国物权法》；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5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4、《中华人民共和国城乡规划法》；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5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5、中华人民共和国国家标准《房地产估价规范》（GB/T 50291-2015）；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中华人民共和国国家标准《房地产估价基本术语标准》（GB/T 50899-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2013）；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6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6、注册房地产估价师实地查勘所搜集的资料；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5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7、询价委托人提供的相关资料及数据。</w:t>
      </w:r>
    </w:p>
    <w:p>
      <w:pPr>
        <w:numPr>
          <w:ilvl w:val="0"/>
          <w:numId w:val="0"/>
        </w:numPr>
        <w:jc w:val="both"/>
        <w:spacing w:lineRule="exact" w:line="440" w:before="0" w:after="0"/>
        <w:ind w:left="142" w:right="0" w:firstLine="0"/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</w:tabs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snapToGrid w:val="off"/>
        <w:autoSpaceDE w:val="0"/>
        <w:autoSpaceDN w:val="0"/>
      </w:pPr>
      <w:bookmarkStart w:id="2" w:name="_Toc256000011"/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>七、估价方法</w:t>
      </w:r>
      <w:bookmarkEnd w:id="2"/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>：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比较法、收益法</w:t>
      </w:r>
    </w:p>
    <w:p>
      <w:pPr>
        <w:numPr>
          <w:ilvl w:val="0"/>
          <w:numId w:val="0"/>
        </w:numPr>
        <w:jc w:val="both"/>
        <w:spacing w:lineRule="exact" w:line="440" w:before="0" w:after="0"/>
        <w:ind w:right="0" w:firstLine="148"/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snapToGrid w:val="off"/>
        <w:autoSpaceDE w:val="0"/>
        <w:autoSpaceDN w:val="0"/>
      </w:pPr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>八、询价结果：</w:t>
      </w:r>
      <w:r>
        <w:rPr>
          <w:color w:val="auto"/>
          <w:position w:val="0"/>
          <w:sz w:val="30"/>
          <w:szCs w:val="30"/>
          <w:rFonts w:ascii="仿宋" w:eastAsia="仿宋" w:hAnsi="仿宋" w:hint="default"/>
        </w:rPr>
        <w:t>详见下表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843"/>
        <w:gridCol w:w="1384"/>
        <w:gridCol w:w="1843"/>
        <w:gridCol w:w="2126"/>
        <w:gridCol w:w="20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1843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项目</w:t>
            </w:r>
          </w:p>
        </w:tc>
        <w:tc>
          <w:tcPr>
            <w:tcW w:type="dxa" w:w="13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规划用途</w:t>
            </w:r>
          </w:p>
        </w:tc>
        <w:tc>
          <w:tcPr>
            <w:tcW w:type="dxa" w:w="184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询价面积（</w:t>
            </w: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㎡）</w:t>
            </w:r>
          </w:p>
        </w:tc>
        <w:tc>
          <w:tcPr>
            <w:tcW w:type="dxa" w:w="212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 xml:space="preserve"> 单价（元/㎡）</w:t>
            </w:r>
          </w:p>
        </w:tc>
        <w:tc>
          <w:tcPr>
            <w:tcW w:type="dxa" w:w="202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询价结果（元）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84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房地产</w:t>
            </w:r>
          </w:p>
        </w:tc>
        <w:tc>
          <w:tcPr>
            <w:tcW w:type="dxa" w:w="13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住宅</w:t>
            </w:r>
          </w:p>
        </w:tc>
        <w:tc>
          <w:tcPr>
            <w:tcW w:type="dxa" w:w="18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135.17</w:t>
            </w:r>
          </w:p>
        </w:tc>
        <w:tc>
          <w:tcPr>
            <w:tcW w:type="dxa" w:w="212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14058</w:t>
            </w:r>
          </w:p>
        </w:tc>
        <w:tc>
          <w:tcPr>
            <w:tcW w:type="dxa" w:w="20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1900220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843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合计</w:t>
            </w:r>
          </w:p>
        </w:tc>
        <w:tc>
          <w:tcPr>
            <w:tcW w:type="dxa" w:w="73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rPr>
                <w:b w:val="1"/>
                <w:color w:val="000000"/>
                <w:position w:val="0"/>
                <w:sz w:val="24"/>
                <w:szCs w:val="24"/>
                <w:rFonts w:ascii="仿宋" w:eastAsia="宋体" w:hAnsi="宋体" w:hint="default"/>
              </w:rPr>
              <w:snapToGrid w:val="off"/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t>大写人民币：壹佰玖拾万零贰佰贰拾元整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40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 xml:space="preserve"> 九、询价报告有效期：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2018年8月24日-2019年8月23日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148"/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snapToGrid w:val="off"/>
        <w:autoSpaceDE w:val="0"/>
        <w:autoSpaceDN w:val="0"/>
      </w:pPr>
      <w:r>
        <w:rPr>
          <w:b w:val="1"/>
          <w:color w:val="auto"/>
          <w:position w:val="0"/>
          <w:sz w:val="30"/>
          <w:szCs w:val="30"/>
          <w:rFonts w:ascii="仿宋" w:eastAsia="仿宋" w:hAnsi="仿宋" w:hint="default"/>
        </w:rPr>
        <w:t>十：特别提示：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48"/>
        <w:rPr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0"/>
        <w:autoSpaceDN w:val="0"/>
      </w:pPr>
      <w:r>
        <w:rPr>
          <w:b w:val="1"/>
          <w:color w:val="000000"/>
          <w:position w:val="0"/>
          <w:sz w:val="28"/>
          <w:szCs w:val="28"/>
          <w:rFonts w:ascii="仿宋" w:eastAsia="仿宋" w:hAnsi="仿宋" w:hint="default"/>
        </w:rPr>
        <w:t>1、本询价结果仅限委托人对询价对象进行网络拍卖提供市场价值参考;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51"/>
        <w:rPr>
          <w:color w:val="000000"/>
          <w:position w:val="0"/>
          <w:sz w:val="21"/>
          <w:szCs w:val="21"/>
          <w:rFonts w:ascii="仿宋_GB2312" w:eastAsia="宋体" w:hAnsi="宋体" w:hint="default"/>
        </w:rPr>
        <w:snapToGrid w:val="off"/>
        <w:autoSpaceDE w:val="0"/>
        <w:autoSpaceDN w:val="0"/>
      </w:pPr>
      <w:r>
        <w:rPr>
          <w:b w:val="1"/>
          <w:color w:val="000000"/>
          <w:position w:val="0"/>
          <w:sz w:val="28"/>
          <w:szCs w:val="28"/>
          <w:rFonts w:ascii="仿宋" w:eastAsia="仿宋" w:hAnsi="仿宋" w:hint="default"/>
        </w:rPr>
        <w:t>2、本估价结果为拍卖参考底价，不具有法律强制性，也不作为成交的直</w:t>
      </w:r>
      <w:r>
        <w:rPr>
          <w:b w:val="1"/>
          <w:color w:val="000000"/>
          <w:position w:val="0"/>
          <w:sz w:val="28"/>
          <w:szCs w:val="28"/>
          <w:rFonts w:ascii="仿宋" w:eastAsia="仿宋" w:hAnsi="仿宋" w:hint="default"/>
        </w:rPr>
        <w:t>接依据，成交与否由双方协商确定。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551"/>
        <w:rPr>
          <w:b w:val="1"/>
          <w:color w:val="000000"/>
          <w:position w:val="0"/>
          <w:sz w:val="28"/>
          <w:szCs w:val="28"/>
          <w:rFonts w:ascii="仿宋" w:eastAsia="宋体" w:hAnsi="宋体" w:hint="default"/>
        </w:rPr>
        <w:snapToGrid w:val="off"/>
        <w:autoSpaceDE w:val="0"/>
        <w:autoSpaceDN w:val="0"/>
      </w:pPr>
      <w:r>
        <w:rPr>
          <w:b w:val="1"/>
          <w:color w:val="000000"/>
          <w:position w:val="0"/>
          <w:sz w:val="28"/>
          <w:szCs w:val="28"/>
          <w:rFonts w:ascii="仿宋" w:eastAsia="仿宋" w:hAnsi="仿宋" w:hint="default"/>
        </w:rPr>
        <w:t>3、根据委托人提供的《西安市房屋登记薄》记载，第一幢楼房屋总层数</w:t>
      </w:r>
      <w:r>
        <w:rPr>
          <w:b w:val="1"/>
          <w:color w:val="000000"/>
          <w:position w:val="0"/>
          <w:sz w:val="28"/>
          <w:szCs w:val="28"/>
          <w:rFonts w:ascii="仿宋" w:eastAsia="仿宋" w:hAnsi="仿宋" w:hint="default"/>
        </w:rPr>
        <w:t>为24层，经实地查勘，询价对象位于第1幢楼三单元，总层数为15层，本次询</w:t>
      </w:r>
      <w:r>
        <w:rPr>
          <w:b w:val="1"/>
          <w:color w:val="000000"/>
          <w:position w:val="0"/>
          <w:sz w:val="28"/>
          <w:szCs w:val="28"/>
          <w:rFonts w:ascii="仿宋" w:eastAsia="仿宋" w:hAnsi="仿宋" w:hint="default"/>
        </w:rPr>
        <w:t>价以实地查勘为准。</w:t>
      </w:r>
    </w:p>
    <w:p>
      <w:pPr>
        <w:numPr>
          <w:ilvl w:val="0"/>
          <w:numId w:val="0"/>
        </w:numPr>
        <w:jc w:val="both"/>
        <w:spacing w:lineRule="exact" w:line="440" w:before="0" w:after="0"/>
        <w:ind w:right="0" w:firstLine="406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山东中大恒正土地房地产评估有限公司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firstLine="0"/>
        <w:tabs>
          <w:tab w:val="left" w:pos="5235"/>
        </w:tabs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                                  二〇一八年八月二十四日</w:t>
      </w:r>
    </w:p>
    <w:sectPr>
      <w:headerReference w:type="default" r:id="rId5"/>
      <w:pgSz w:w="11906" w:h="16838"/>
      <w:pgMar w:top="851" w:left="1633" w:bottom="851" w:right="1133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japaneseCounting"/>
      <w:start w:val="1"/>
      <w:suff w:val="tab"/>
      <w:pPr>
        <w:ind w:left="861" w:hanging="720"/>
        <w:jc w:val="both"/>
        <w:tabs>
          <w:tab w:val="left" w:pos="861"/>
        </w:tabs>
      </w:pPr>
      <w:rPr>
        <w:rFonts w:ascii="仿宋" w:eastAsia="仿宋" w:hAnsi="仿宋"/>
        <w:b/>
        <w:shd w:val="clear"/>
        <w:sz w:val="30"/>
        <w:szCs w:val="3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rPr>
      <w:rFonts w:ascii="Times New Roman" w:eastAsia="Times New Roman" w:hAnsi="Times New Roman"/>
      <w:shd w:val="clear"/>
      <w:sz w:val="20"/>
      <w:szCs w:val="20"/>
      <w:w w:val="100"/>
    </w:rPr>
    <w:tblPr>
      <w:tblBorders>
        <w:bottom w:val="single" w:color="000000" w:themeColor="text1" w:sz="4"/>
        <w:insideH w:val="single" w:color="000000" w:themeColor="text1" w:sz="4"/>
        <w:insideV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941</Characters>
  <CharactersWithSpaces>0</CharactersWithSpaces>
  <Company>Microsoft</Company>
  <DocSecurity>0</DocSecurity>
  <HyperlinksChanged>false</HyperlinksChanged>
  <Lines>6</Lines>
  <LinksUpToDate>false</LinksUpToDate>
  <Pages>2</Pages>
  <Paragraphs>1</Paragraphs>
  <Words>140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PC</dc:creator>
  <cp:lastModifiedBy/>
  <dcterms:modified xsi:type="dcterms:W3CDTF">2018-08-27T02:14:00Z</dcterms:modified>
</cp:coreProperties>
</file>