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7727" w:rsidRDefault="007C7727">
      <w:pPr>
        <w:tabs>
          <w:tab w:val="left" w:pos="735"/>
        </w:tabs>
        <w:wordWrap w:val="0"/>
        <w:overflowPunct w:val="0"/>
        <w:spacing w:line="312" w:lineRule="auto"/>
        <w:rPr>
          <w:rFonts w:ascii="仿宋" w:eastAsia="仿宋" w:hAnsi="仿宋"/>
          <w:sz w:val="44"/>
          <w:szCs w:val="44"/>
        </w:rPr>
      </w:pPr>
    </w:p>
    <w:p w:rsidR="007C7727" w:rsidRDefault="007C7727">
      <w:pPr>
        <w:tabs>
          <w:tab w:val="left" w:pos="735"/>
        </w:tabs>
        <w:wordWrap w:val="0"/>
        <w:overflowPunct w:val="0"/>
        <w:spacing w:line="312" w:lineRule="auto"/>
        <w:rPr>
          <w:rFonts w:ascii="仿宋" w:eastAsia="仿宋" w:hAnsi="仿宋"/>
          <w:sz w:val="44"/>
          <w:szCs w:val="44"/>
        </w:rPr>
      </w:pPr>
    </w:p>
    <w:p w:rsidR="007C7727" w:rsidRDefault="007C7727">
      <w:pPr>
        <w:tabs>
          <w:tab w:val="left" w:pos="735"/>
        </w:tabs>
        <w:wordWrap w:val="0"/>
        <w:overflowPunct w:val="0"/>
        <w:spacing w:line="312" w:lineRule="auto"/>
        <w:rPr>
          <w:rFonts w:ascii="仿宋" w:eastAsia="仿宋" w:hAnsi="仿宋"/>
          <w:sz w:val="44"/>
          <w:szCs w:val="44"/>
        </w:rPr>
      </w:pPr>
    </w:p>
    <w:p w:rsidR="007C7727" w:rsidRDefault="007C7727">
      <w:pPr>
        <w:tabs>
          <w:tab w:val="left" w:pos="735"/>
        </w:tabs>
        <w:wordWrap w:val="0"/>
        <w:overflowPunct w:val="0"/>
        <w:spacing w:line="312" w:lineRule="auto"/>
        <w:rPr>
          <w:rFonts w:ascii="仿宋" w:eastAsia="仿宋" w:hAnsi="仿宋"/>
          <w:sz w:val="44"/>
          <w:szCs w:val="44"/>
        </w:rPr>
      </w:pPr>
    </w:p>
    <w:p w:rsidR="007C7727" w:rsidRDefault="000203A5">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7C7727" w:rsidRDefault="007C7727">
      <w:pPr>
        <w:jc w:val="center"/>
        <w:rPr>
          <w:i/>
          <w:color w:val="000000"/>
          <w:sz w:val="24"/>
        </w:rPr>
      </w:pPr>
    </w:p>
    <w:p w:rsidR="007C7727" w:rsidRDefault="007C7727">
      <w:pPr>
        <w:spacing w:line="480" w:lineRule="exact"/>
        <w:ind w:firstLineChars="200" w:firstLine="420"/>
        <w:rPr>
          <w:rFonts w:ascii="华文楷体" w:eastAsia="华文楷体" w:hAnsi="华文楷体"/>
        </w:rPr>
      </w:pPr>
    </w:p>
    <w:p w:rsidR="007C7727" w:rsidRDefault="007C7727">
      <w:pPr>
        <w:spacing w:line="480" w:lineRule="exact"/>
        <w:ind w:firstLineChars="200" w:firstLine="420"/>
        <w:rPr>
          <w:rFonts w:ascii="华文楷体" w:eastAsia="华文楷体" w:hAnsi="华文楷体"/>
        </w:rPr>
      </w:pPr>
    </w:p>
    <w:p w:rsidR="007C7727" w:rsidRDefault="007C7727">
      <w:pPr>
        <w:spacing w:line="480" w:lineRule="exact"/>
        <w:ind w:firstLineChars="200" w:firstLine="420"/>
        <w:rPr>
          <w:rFonts w:ascii="华文楷体" w:eastAsia="华文楷体" w:hAnsi="华文楷体"/>
        </w:rPr>
      </w:pPr>
    </w:p>
    <w:p w:rsidR="007C7727" w:rsidRDefault="007C7727">
      <w:pPr>
        <w:spacing w:line="480" w:lineRule="exact"/>
        <w:ind w:firstLineChars="200" w:firstLine="420"/>
        <w:rPr>
          <w:rFonts w:ascii="华文楷体" w:eastAsia="华文楷体" w:hAnsi="华文楷体"/>
        </w:rPr>
      </w:pPr>
    </w:p>
    <w:p w:rsidR="007C7727" w:rsidRDefault="007C7727">
      <w:pPr>
        <w:spacing w:line="480" w:lineRule="exact"/>
        <w:ind w:firstLineChars="200" w:firstLine="420"/>
        <w:rPr>
          <w:rFonts w:ascii="华文楷体" w:eastAsia="华文楷体" w:hAnsi="华文楷体"/>
        </w:rPr>
      </w:pPr>
    </w:p>
    <w:p w:rsidR="007C7727" w:rsidRDefault="007C7727">
      <w:pPr>
        <w:spacing w:line="480" w:lineRule="exact"/>
        <w:ind w:firstLineChars="200" w:firstLine="420"/>
        <w:rPr>
          <w:rFonts w:ascii="华文楷体" w:eastAsia="华文楷体" w:hAnsi="华文楷体"/>
        </w:rPr>
      </w:pPr>
    </w:p>
    <w:p w:rsidR="007C7727" w:rsidRDefault="007C7727">
      <w:pPr>
        <w:spacing w:line="480" w:lineRule="exact"/>
        <w:ind w:firstLineChars="200" w:firstLine="420"/>
        <w:rPr>
          <w:rFonts w:ascii="华文楷体" w:eastAsia="华文楷体" w:hAnsi="华文楷体"/>
        </w:rPr>
      </w:pPr>
    </w:p>
    <w:p w:rsidR="007C7727" w:rsidRDefault="000203A5">
      <w:pPr>
        <w:autoSpaceDE w:val="0"/>
        <w:autoSpaceDN w:val="0"/>
        <w:spacing w:line="480" w:lineRule="auto"/>
        <w:ind w:leftChars="152" w:left="2568" w:hangingChars="700" w:hanging="2249"/>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周村区紫馨蓝岸小区4号楼020501号</w:t>
      </w:r>
    </w:p>
    <w:p w:rsidR="007C7727" w:rsidRDefault="000203A5">
      <w:pPr>
        <w:autoSpaceDE w:val="0"/>
        <w:autoSpaceDN w:val="0"/>
        <w:spacing w:line="480" w:lineRule="auto"/>
        <w:ind w:leftChars="1216" w:left="2554"/>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住宅房地产市场价值评估</w:t>
      </w:r>
    </w:p>
    <w:p w:rsidR="007C7727" w:rsidRDefault="000203A5">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 xml:space="preserve">估价报告编号: </w:t>
      </w:r>
      <w:r>
        <w:rPr>
          <w:rFonts w:ascii="楷体_GB2312" w:eastAsia="楷体_GB2312" w:hAnsi="华文楷体" w:hint="eastAsia"/>
          <w:bCs/>
          <w:kern w:val="0"/>
          <w:sz w:val="32"/>
          <w:szCs w:val="32"/>
        </w:rPr>
        <w:t>山智房估字（2018）3-</w:t>
      </w:r>
      <w:r w:rsidR="008C092E">
        <w:rPr>
          <w:rFonts w:ascii="楷体_GB2312" w:eastAsia="楷体_GB2312" w:hAnsi="华文楷体" w:hint="eastAsia"/>
          <w:bCs/>
          <w:kern w:val="0"/>
          <w:sz w:val="32"/>
          <w:szCs w:val="32"/>
        </w:rPr>
        <w:t>138</w:t>
      </w:r>
      <w:r>
        <w:rPr>
          <w:rFonts w:ascii="楷体_GB2312" w:eastAsia="楷体_GB2312" w:hAnsi="华文楷体" w:hint="eastAsia"/>
          <w:bCs/>
          <w:kern w:val="0"/>
          <w:sz w:val="32"/>
          <w:szCs w:val="32"/>
        </w:rPr>
        <w:t>号</w:t>
      </w:r>
    </w:p>
    <w:p w:rsidR="007C7727" w:rsidRDefault="000203A5">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 价 委 托 人：</w:t>
      </w:r>
      <w:r>
        <w:rPr>
          <w:rFonts w:ascii="楷体_GB2312" w:eastAsia="楷体_GB2312" w:hAnsi="华文楷体" w:hint="eastAsia"/>
          <w:bCs/>
          <w:kern w:val="0"/>
          <w:sz w:val="32"/>
          <w:szCs w:val="32"/>
        </w:rPr>
        <w:t>桓台县人民法院技术室</w:t>
      </w:r>
    </w:p>
    <w:p w:rsidR="007C7727" w:rsidRDefault="000203A5">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7C7727" w:rsidRDefault="000203A5">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宋体" w:hint="eastAsia"/>
          <w:b/>
          <w:bCs/>
          <w:sz w:val="32"/>
        </w:rPr>
        <w:t xml:space="preserve">注册房地产估价师: </w:t>
      </w: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(注册号:3719970016)</w:t>
      </w:r>
    </w:p>
    <w:p w:rsidR="007C7727" w:rsidRDefault="000203A5">
      <w:pPr>
        <w:autoSpaceDE w:val="0"/>
        <w:autoSpaceDN w:val="0"/>
        <w:spacing w:line="480" w:lineRule="auto"/>
        <w:ind w:firstLineChars="946" w:firstLine="3027"/>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辛  芳</w:t>
      </w:r>
      <w:r>
        <w:rPr>
          <w:rFonts w:ascii="楷体_GB2312" w:eastAsia="楷体_GB2312" w:hAnsi="华文楷体" w:hint="eastAsia"/>
          <w:bCs/>
          <w:kern w:val="0"/>
          <w:sz w:val="28"/>
          <w:szCs w:val="28"/>
        </w:rPr>
        <w:t>(注册号:3720170103)</w:t>
      </w:r>
    </w:p>
    <w:p w:rsidR="007C7727" w:rsidRDefault="000203A5">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sidR="008C092E">
        <w:rPr>
          <w:rFonts w:ascii="楷体_GB2312" w:eastAsia="楷体_GB2312" w:hAnsi="华文楷体" w:hint="eastAsia"/>
          <w:bCs/>
          <w:kern w:val="0"/>
          <w:sz w:val="32"/>
          <w:szCs w:val="32"/>
        </w:rPr>
        <w:t>二○一八年九月二十八日</w:t>
      </w:r>
    </w:p>
    <w:p w:rsidR="007C7727" w:rsidRDefault="000203A5">
      <w:pPr>
        <w:widowControl/>
        <w:jc w:val="left"/>
        <w:rPr>
          <w:rFonts w:ascii="宋体" w:hAnsi="宋体"/>
          <w:b/>
          <w:bCs/>
          <w:sz w:val="10"/>
          <w:szCs w:val="10"/>
        </w:rPr>
      </w:pPr>
      <w:r>
        <w:rPr>
          <w:rFonts w:ascii="楷体_GB2312" w:eastAsia="楷体_GB2312" w:hAnsi="华文楷体"/>
          <w:bCs/>
          <w:kern w:val="0"/>
          <w:sz w:val="32"/>
          <w:szCs w:val="32"/>
        </w:rPr>
        <w:br w:type="page"/>
      </w:r>
      <w:bookmarkStart w:id="0" w:name="_Toc495322692"/>
    </w:p>
    <w:p w:rsidR="007C7727" w:rsidRDefault="000203A5" w:rsidP="008C092E">
      <w:pPr>
        <w:widowControl/>
        <w:spacing w:afterLines="100"/>
        <w:jc w:val="center"/>
        <w:rPr>
          <w:rFonts w:ascii="宋体" w:hAnsi="宋体"/>
          <w:b/>
          <w:bCs/>
          <w:sz w:val="36"/>
          <w:szCs w:val="36"/>
        </w:rPr>
      </w:pPr>
      <w:r>
        <w:rPr>
          <w:rFonts w:ascii="宋体" w:hAnsi="宋体" w:hint="eastAsia"/>
          <w:b/>
          <w:bCs/>
          <w:sz w:val="36"/>
          <w:szCs w:val="36"/>
        </w:rPr>
        <w:lastRenderedPageBreak/>
        <w:t>致估价委托人函</w:t>
      </w:r>
      <w:bookmarkEnd w:id="0"/>
    </w:p>
    <w:p w:rsidR="007C7727" w:rsidRDefault="000203A5">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桓台县人民法院技术室</w:t>
      </w:r>
    </w:p>
    <w:p w:rsidR="007C7727" w:rsidRDefault="000203A5">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7C7727" w:rsidRDefault="000203A5">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7C7727" w:rsidRDefault="000203A5">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7C7727" w:rsidRDefault="000203A5">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7C7727" w:rsidRDefault="000203A5">
      <w:pPr>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淄博宝龙房地产开发有限公司所属的位于周村区紫馨蓝岸小区4号楼020501号住宅房地产,预售证号为Y06-1002151号，用途为成套住宅，建筑面积为144.41平方米</w:t>
      </w:r>
      <w:r w:rsidR="005C7704">
        <w:rPr>
          <w:rFonts w:ascii="仿宋_GB2312" w:eastAsia="仿宋_GB2312" w:hAnsi="仿宋" w:hint="eastAsia"/>
          <w:sz w:val="28"/>
        </w:rPr>
        <w:t>（含阁楼）</w:t>
      </w:r>
      <w:r>
        <w:rPr>
          <w:rFonts w:ascii="宋体" w:hAnsi="宋体" w:cs="宋体" w:hint="eastAsia"/>
          <w:sz w:val="28"/>
        </w:rPr>
        <w:t>，</w:t>
      </w:r>
      <w:r>
        <w:rPr>
          <w:rFonts w:ascii="仿宋_GB2312" w:eastAsia="仿宋_GB2312" w:hAnsi="Arial Narrow" w:hint="eastAsia"/>
          <w:sz w:val="28"/>
        </w:rPr>
        <w:t>带地下储藏室及车位。土地使用证未提供。</w:t>
      </w:r>
    </w:p>
    <w:p w:rsidR="007C7727" w:rsidRDefault="000203A5">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7C7727" w:rsidRDefault="000203A5">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2018年09月26日</w:t>
      </w:r>
      <w:r>
        <w:rPr>
          <w:rFonts w:ascii="仿宋_GB2312" w:eastAsia="仿宋_GB2312" w:hAnsi="Arial Narrow" w:hint="eastAsia"/>
          <w:sz w:val="28"/>
        </w:rPr>
        <w:t>(实地查勘日)。</w:t>
      </w:r>
    </w:p>
    <w:p w:rsidR="007C7727" w:rsidRDefault="000203A5">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7C7727" w:rsidRDefault="000203A5">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7C7727" w:rsidRDefault="000203A5">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7C7727" w:rsidRDefault="000203A5">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 xml:space="preserve">作为本次估价的方法，在认真分析现有资料的基础上，经过测算，并结合估价经验与对影响估价对象价格因素的分析，确定估价对象于价值时点的市场价值估价结果如下： </w:t>
      </w:r>
    </w:p>
    <w:p w:rsidR="007C7727" w:rsidRDefault="000203A5">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Pr>
          <w:rFonts w:ascii="仿宋_GB2312" w:eastAsia="仿宋_GB2312" w:hAnsi="仿宋" w:hint="eastAsia"/>
          <w:b/>
          <w:bCs/>
          <w:sz w:val="28"/>
          <w:szCs w:val="28"/>
        </w:rPr>
        <w:t>7392</w:t>
      </w:r>
      <w:r>
        <w:rPr>
          <w:rFonts w:ascii="仿宋_GB2312" w:eastAsia="仿宋_GB2312" w:hAnsi="Arial Narrow" w:hint="eastAsia"/>
          <w:sz w:val="28"/>
        </w:rPr>
        <w:t>元/平方米；</w:t>
      </w:r>
    </w:p>
    <w:p w:rsidR="007C7727" w:rsidRDefault="000203A5">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hint="eastAsia"/>
          <w:b/>
          <w:bCs/>
          <w:sz w:val="28"/>
          <w:szCs w:val="28"/>
        </w:rPr>
        <w:t>106.75</w:t>
      </w:r>
      <w:r>
        <w:rPr>
          <w:rFonts w:ascii="仿宋_GB2312" w:eastAsia="仿宋_GB2312" w:hAnsi="Arial Narrow" w:hint="eastAsia"/>
          <w:sz w:val="28"/>
        </w:rPr>
        <w:t>万元</w:t>
      </w:r>
      <w:r w:rsidR="008C092E">
        <w:rPr>
          <w:rFonts w:ascii="仿宋_GB2312" w:eastAsia="仿宋_GB2312" w:hAnsi="Arial Narrow" w:hint="eastAsia"/>
          <w:sz w:val="28"/>
        </w:rPr>
        <w:t>(包含地下储藏室及车位)</w:t>
      </w:r>
      <w:r>
        <w:rPr>
          <w:rFonts w:ascii="仿宋_GB2312" w:eastAsia="仿宋_GB2312" w:hAnsi="Arial Narrow" w:hint="eastAsia"/>
          <w:sz w:val="28"/>
        </w:rPr>
        <w:t>；</w:t>
      </w:r>
    </w:p>
    <w:p w:rsidR="007C7727" w:rsidRDefault="000203A5">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AD59FE">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AD59FE">
        <w:rPr>
          <w:rFonts w:ascii="仿宋" w:eastAsia="仿宋" w:hAnsi="仿宋" w:hint="eastAsia"/>
          <w:b/>
          <w:bCs/>
          <w:sz w:val="28"/>
          <w:szCs w:val="28"/>
        </w:rPr>
        <w:fldChar w:fldCharType="separate"/>
      </w:r>
      <w:r w:rsidR="00AD59FE">
        <w:rPr>
          <w:rFonts w:ascii="仿宋" w:eastAsia="仿宋" w:hAnsi="仿宋" w:hint="eastAsia"/>
          <w:b/>
          <w:bCs/>
          <w:sz w:val="28"/>
          <w:szCs w:val="28"/>
        </w:rPr>
        <w:fldChar w:fldCharType="begin"/>
      </w:r>
      <w:r>
        <w:rPr>
          <w:rFonts w:ascii="仿宋" w:eastAsia="仿宋" w:hAnsi="仿宋" w:hint="eastAsia"/>
          <w:b/>
          <w:bCs/>
          <w:sz w:val="28"/>
          <w:szCs w:val="28"/>
        </w:rPr>
        <w:instrText xml:space="preserve"> = 1067500 \* CHINESENUM2 \* MERGEFORMAT </w:instrText>
      </w:r>
      <w:r w:rsidR="00AD59FE">
        <w:rPr>
          <w:rFonts w:ascii="仿宋" w:eastAsia="仿宋" w:hAnsi="仿宋" w:hint="eastAsia"/>
          <w:b/>
          <w:bCs/>
          <w:sz w:val="28"/>
          <w:szCs w:val="28"/>
        </w:rPr>
        <w:fldChar w:fldCharType="separate"/>
      </w:r>
      <w:r>
        <w:rPr>
          <w:rFonts w:ascii="仿宋" w:eastAsia="仿宋" w:hAnsi="仿宋"/>
          <w:b/>
          <w:bCs/>
          <w:sz w:val="28"/>
          <w:szCs w:val="28"/>
        </w:rPr>
        <w:t>壹佰零陆万柒仟伍佰</w:t>
      </w:r>
      <w:r w:rsidR="00AD59FE">
        <w:rPr>
          <w:rFonts w:ascii="仿宋" w:eastAsia="仿宋" w:hAnsi="仿宋" w:hint="eastAsia"/>
          <w:b/>
          <w:bCs/>
          <w:sz w:val="28"/>
          <w:szCs w:val="28"/>
        </w:rPr>
        <w:fldChar w:fldCharType="end"/>
      </w:r>
      <w:r>
        <w:rPr>
          <w:rFonts w:ascii="仿宋" w:eastAsia="仿宋" w:hAnsi="仿宋"/>
          <w:b/>
          <w:bCs/>
          <w:sz w:val="28"/>
          <w:szCs w:val="28"/>
        </w:rPr>
        <w:t>元整</w:t>
      </w:r>
      <w:r w:rsidR="00AD59FE">
        <w:rPr>
          <w:rFonts w:ascii="仿宋" w:eastAsia="仿宋" w:hAnsi="仿宋" w:hint="eastAsia"/>
          <w:b/>
          <w:bCs/>
          <w:sz w:val="28"/>
          <w:szCs w:val="28"/>
        </w:rPr>
        <w:fldChar w:fldCharType="end"/>
      </w:r>
      <w:r>
        <w:rPr>
          <w:rFonts w:ascii="仿宋_GB2312" w:eastAsia="仿宋_GB2312" w:hAnsi="Arial Narrow" w:hint="eastAsia"/>
          <w:sz w:val="28"/>
        </w:rPr>
        <w:t>。</w:t>
      </w:r>
    </w:p>
    <w:p w:rsidR="007C7727" w:rsidRDefault="000203A5">
      <w:pPr>
        <w:spacing w:line="48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报告使用人在使用本报告之前需对报告全文认真阅读。如对本报告有异议，请十日内向桓台县人民法院提出书面异议。</w:t>
      </w:r>
    </w:p>
    <w:p w:rsidR="007C7727" w:rsidRDefault="007C7727">
      <w:pPr>
        <w:spacing w:line="400" w:lineRule="exact"/>
        <w:ind w:firstLineChars="200" w:firstLine="560"/>
        <w:jc w:val="right"/>
        <w:rPr>
          <w:rFonts w:ascii="仿宋_GB2312" w:eastAsia="仿宋_GB2312" w:hAnsi="仿宋"/>
          <w:sz w:val="28"/>
          <w:szCs w:val="28"/>
        </w:rPr>
      </w:pPr>
    </w:p>
    <w:p w:rsidR="007C7727" w:rsidRDefault="000203A5">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7C7727" w:rsidRDefault="000203A5">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法定代表人：王  蒙</w:t>
      </w:r>
    </w:p>
    <w:p w:rsidR="007C7727" w:rsidRDefault="001021B0" w:rsidP="001021B0">
      <w:pPr>
        <w:spacing w:line="400" w:lineRule="exact"/>
        <w:jc w:val="center"/>
        <w:rPr>
          <w:rFonts w:ascii="仿宋_GB2312" w:eastAsia="仿宋_GB2312" w:hAnsi="仿宋"/>
          <w:sz w:val="28"/>
          <w:szCs w:val="28"/>
        </w:rPr>
      </w:pPr>
      <w:r>
        <w:rPr>
          <w:rFonts w:ascii="仿宋_GB2312" w:eastAsia="仿宋_GB2312" w:hAnsi="仿宋" w:hint="eastAsia"/>
          <w:sz w:val="28"/>
          <w:szCs w:val="28"/>
        </w:rPr>
        <w:t xml:space="preserve">                       </w:t>
      </w:r>
      <w:r w:rsidR="008C092E">
        <w:rPr>
          <w:rFonts w:ascii="仿宋_GB2312" w:eastAsia="仿宋_GB2312" w:hAnsi="仿宋" w:hint="eastAsia"/>
          <w:sz w:val="28"/>
          <w:szCs w:val="28"/>
        </w:rPr>
        <w:t>二○一八年九月二十八日</w:t>
      </w:r>
    </w:p>
    <w:p w:rsidR="007C7727" w:rsidRDefault="000203A5" w:rsidP="008C092E">
      <w:pPr>
        <w:spacing w:beforeLines="50" w:afterLines="50"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    录</w:t>
      </w:r>
    </w:p>
    <w:p w:rsidR="007C7727" w:rsidRDefault="00AD59FE">
      <w:pPr>
        <w:pStyle w:val="21"/>
        <w:tabs>
          <w:tab w:val="right" w:leader="dot" w:pos="8504"/>
        </w:tabs>
        <w:spacing w:line="500" w:lineRule="exact"/>
        <w:rPr>
          <w:rFonts w:ascii="仿宋_GB2312" w:eastAsia="仿宋_GB2312" w:hAnsi="仿宋_GB2312" w:cs="仿宋_GB2312"/>
          <w:b/>
          <w:bCs/>
          <w:noProof/>
          <w:sz w:val="28"/>
          <w:szCs w:val="28"/>
        </w:rPr>
      </w:pPr>
      <w:r w:rsidRPr="00AD59FE">
        <w:rPr>
          <w:rFonts w:ascii="仿宋_GB2312" w:eastAsia="仿宋_GB2312" w:hAnsi="宋体" w:hint="eastAsia"/>
          <w:sz w:val="28"/>
          <w:szCs w:val="28"/>
        </w:rPr>
        <w:fldChar w:fldCharType="begin"/>
      </w:r>
      <w:r w:rsidR="000203A5">
        <w:rPr>
          <w:rFonts w:ascii="仿宋_GB2312" w:eastAsia="仿宋_GB2312" w:hAnsi="宋体" w:hint="eastAsia"/>
          <w:sz w:val="28"/>
          <w:szCs w:val="28"/>
        </w:rPr>
        <w:instrText xml:space="preserve"> TOC \o "1-3" \h \z \u </w:instrText>
      </w:r>
      <w:r w:rsidRPr="00AD59FE">
        <w:rPr>
          <w:rFonts w:ascii="仿宋_GB2312" w:eastAsia="仿宋_GB2312" w:hAnsi="宋体" w:hint="eastAsia"/>
          <w:sz w:val="28"/>
          <w:szCs w:val="28"/>
        </w:rPr>
        <w:fldChar w:fldCharType="separate"/>
      </w:r>
      <w:hyperlink w:anchor="_Toc28594" w:history="1">
        <w:r w:rsidR="000203A5">
          <w:rPr>
            <w:rFonts w:ascii="仿宋_GB2312" w:eastAsia="仿宋_GB2312" w:hAnsi="仿宋_GB2312" w:cs="仿宋_GB2312" w:hint="eastAsia"/>
            <w:b/>
            <w:bCs/>
            <w:noProof/>
            <w:sz w:val="28"/>
            <w:szCs w:val="28"/>
          </w:rPr>
          <w:t>估 价 师 声 明</w:t>
        </w:r>
        <w:r w:rsidR="000203A5">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0203A5">
          <w:rPr>
            <w:rFonts w:ascii="仿宋_GB2312" w:eastAsia="仿宋_GB2312" w:hAnsi="仿宋_GB2312" w:cs="仿宋_GB2312" w:hint="eastAsia"/>
            <w:b/>
            <w:bCs/>
            <w:noProof/>
            <w:sz w:val="28"/>
            <w:szCs w:val="28"/>
          </w:rPr>
          <w:instrText xml:space="preserve"> PAGEREF _Toc28594 </w:instrText>
        </w:r>
        <w:r>
          <w:rPr>
            <w:rFonts w:ascii="仿宋_GB2312" w:eastAsia="仿宋_GB2312" w:hAnsi="仿宋_GB2312" w:cs="仿宋_GB2312" w:hint="eastAsia"/>
            <w:b/>
            <w:bCs/>
            <w:noProof/>
            <w:sz w:val="28"/>
            <w:szCs w:val="28"/>
          </w:rPr>
          <w:fldChar w:fldCharType="separate"/>
        </w:r>
        <w:r w:rsidR="00E92A82">
          <w:rPr>
            <w:rFonts w:ascii="仿宋_GB2312" w:eastAsia="仿宋_GB2312" w:hAnsi="仿宋_GB2312" w:cs="仿宋_GB2312"/>
            <w:b/>
            <w:bCs/>
            <w:noProof/>
            <w:sz w:val="28"/>
            <w:szCs w:val="28"/>
          </w:rPr>
          <w:t>1</w:t>
        </w:r>
        <w:r>
          <w:rPr>
            <w:rFonts w:ascii="仿宋_GB2312" w:eastAsia="仿宋_GB2312" w:hAnsi="仿宋_GB2312" w:cs="仿宋_GB2312" w:hint="eastAsia"/>
            <w:b/>
            <w:bCs/>
            <w:noProof/>
            <w:sz w:val="28"/>
            <w:szCs w:val="28"/>
          </w:rPr>
          <w:fldChar w:fldCharType="end"/>
        </w:r>
      </w:hyperlink>
    </w:p>
    <w:p w:rsidR="007C7727" w:rsidRDefault="00AD59FE">
      <w:pPr>
        <w:pStyle w:val="21"/>
        <w:tabs>
          <w:tab w:val="right" w:leader="dot" w:pos="8504"/>
        </w:tabs>
        <w:spacing w:line="500" w:lineRule="exact"/>
        <w:rPr>
          <w:rFonts w:ascii="仿宋_GB2312" w:eastAsia="仿宋_GB2312" w:hAnsi="仿宋_GB2312" w:cs="仿宋_GB2312"/>
          <w:noProof/>
          <w:sz w:val="28"/>
          <w:szCs w:val="28"/>
        </w:rPr>
      </w:pPr>
      <w:hyperlink w:anchor="_Toc11442" w:history="1">
        <w:r w:rsidR="000203A5">
          <w:rPr>
            <w:rFonts w:ascii="仿宋_GB2312" w:eastAsia="仿宋_GB2312" w:hAnsi="仿宋_GB2312" w:cs="仿宋_GB2312" w:hint="eastAsia"/>
            <w:b/>
            <w:bCs/>
            <w:noProof/>
            <w:sz w:val="28"/>
            <w:szCs w:val="28"/>
          </w:rPr>
          <w:t>估价的假设和限制条件</w:t>
        </w:r>
        <w:r w:rsidR="000203A5">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0203A5">
          <w:rPr>
            <w:rFonts w:ascii="仿宋_GB2312" w:eastAsia="仿宋_GB2312" w:hAnsi="仿宋_GB2312" w:cs="仿宋_GB2312" w:hint="eastAsia"/>
            <w:b/>
            <w:bCs/>
            <w:noProof/>
            <w:sz w:val="28"/>
            <w:szCs w:val="28"/>
          </w:rPr>
          <w:instrText xml:space="preserve"> PAGEREF _Toc11442 </w:instrText>
        </w:r>
        <w:r>
          <w:rPr>
            <w:rFonts w:ascii="仿宋_GB2312" w:eastAsia="仿宋_GB2312" w:hAnsi="仿宋_GB2312" w:cs="仿宋_GB2312" w:hint="eastAsia"/>
            <w:b/>
            <w:bCs/>
            <w:noProof/>
            <w:sz w:val="28"/>
            <w:szCs w:val="28"/>
          </w:rPr>
          <w:fldChar w:fldCharType="separate"/>
        </w:r>
        <w:r w:rsidR="00E92A82">
          <w:rPr>
            <w:rFonts w:ascii="仿宋_GB2312" w:eastAsia="仿宋_GB2312" w:hAnsi="仿宋_GB2312" w:cs="仿宋_GB2312"/>
            <w:b/>
            <w:bCs/>
            <w:noProof/>
            <w:sz w:val="28"/>
            <w:szCs w:val="28"/>
          </w:rPr>
          <w:t>2</w:t>
        </w:r>
        <w:r>
          <w:rPr>
            <w:rFonts w:ascii="仿宋_GB2312" w:eastAsia="仿宋_GB2312" w:hAnsi="仿宋_GB2312" w:cs="仿宋_GB2312" w:hint="eastAsia"/>
            <w:b/>
            <w:bCs/>
            <w:noProof/>
            <w:sz w:val="28"/>
            <w:szCs w:val="28"/>
          </w:rPr>
          <w:fldChar w:fldCharType="end"/>
        </w:r>
      </w:hyperlink>
    </w:p>
    <w:p w:rsidR="007C7727" w:rsidRDefault="00AD59FE" w:rsidP="008C092E">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2345" w:history="1">
        <w:r w:rsidR="000203A5">
          <w:rPr>
            <w:rFonts w:ascii="仿宋_GB2312" w:eastAsia="仿宋_GB2312" w:hAnsi="仿宋_GB2312" w:cs="仿宋_GB2312" w:hint="eastAsia"/>
            <w:noProof/>
            <w:kern w:val="0"/>
            <w:sz w:val="28"/>
            <w:szCs w:val="28"/>
          </w:rPr>
          <w:t>一、本次估价的一般假设</w:t>
        </w:r>
        <w:r w:rsidR="000203A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203A5">
          <w:rPr>
            <w:rFonts w:ascii="仿宋_GB2312" w:eastAsia="仿宋_GB2312" w:hAnsi="仿宋_GB2312" w:cs="仿宋_GB2312" w:hint="eastAsia"/>
            <w:noProof/>
            <w:sz w:val="28"/>
            <w:szCs w:val="28"/>
          </w:rPr>
          <w:instrText xml:space="preserve"> PAGEREF _Toc2345 </w:instrText>
        </w:r>
        <w:r>
          <w:rPr>
            <w:rFonts w:ascii="仿宋_GB2312" w:eastAsia="仿宋_GB2312" w:hAnsi="仿宋_GB2312" w:cs="仿宋_GB2312" w:hint="eastAsia"/>
            <w:noProof/>
            <w:sz w:val="28"/>
            <w:szCs w:val="28"/>
          </w:rPr>
          <w:fldChar w:fldCharType="separate"/>
        </w:r>
        <w:r w:rsidR="00E92A82">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7C7727" w:rsidRDefault="00AD59FE" w:rsidP="008C092E">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21840" w:history="1">
        <w:r w:rsidR="000203A5">
          <w:rPr>
            <w:rFonts w:ascii="仿宋_GB2312" w:eastAsia="仿宋_GB2312" w:hAnsi="仿宋_GB2312" w:cs="仿宋_GB2312" w:hint="eastAsia"/>
            <w:noProof/>
            <w:kern w:val="0"/>
            <w:sz w:val="28"/>
            <w:szCs w:val="28"/>
          </w:rPr>
          <w:t>二、未定事项假设</w:t>
        </w:r>
        <w:r w:rsidR="000203A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203A5">
          <w:rPr>
            <w:rFonts w:ascii="仿宋_GB2312" w:eastAsia="仿宋_GB2312" w:hAnsi="仿宋_GB2312" w:cs="仿宋_GB2312" w:hint="eastAsia"/>
            <w:noProof/>
            <w:sz w:val="28"/>
            <w:szCs w:val="28"/>
          </w:rPr>
          <w:instrText xml:space="preserve"> PAGEREF _Toc21840 </w:instrText>
        </w:r>
        <w:r>
          <w:rPr>
            <w:rFonts w:ascii="仿宋_GB2312" w:eastAsia="仿宋_GB2312" w:hAnsi="仿宋_GB2312" w:cs="仿宋_GB2312" w:hint="eastAsia"/>
            <w:noProof/>
            <w:sz w:val="28"/>
            <w:szCs w:val="28"/>
          </w:rPr>
          <w:fldChar w:fldCharType="separate"/>
        </w:r>
        <w:r w:rsidR="00E92A82">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7C7727" w:rsidRDefault="00AD59FE" w:rsidP="008C092E">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14436" w:history="1">
        <w:r w:rsidR="000203A5">
          <w:rPr>
            <w:rFonts w:ascii="仿宋_GB2312" w:eastAsia="仿宋_GB2312" w:hAnsi="仿宋_GB2312" w:cs="仿宋_GB2312" w:hint="eastAsia"/>
            <w:noProof/>
            <w:kern w:val="0"/>
            <w:sz w:val="28"/>
            <w:szCs w:val="28"/>
          </w:rPr>
          <w:t>三、背离事实假设</w:t>
        </w:r>
        <w:r w:rsidR="000203A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203A5">
          <w:rPr>
            <w:rFonts w:ascii="仿宋_GB2312" w:eastAsia="仿宋_GB2312" w:hAnsi="仿宋_GB2312" w:cs="仿宋_GB2312" w:hint="eastAsia"/>
            <w:noProof/>
            <w:sz w:val="28"/>
            <w:szCs w:val="28"/>
          </w:rPr>
          <w:instrText xml:space="preserve"> PAGEREF _Toc14436 </w:instrText>
        </w:r>
        <w:r>
          <w:rPr>
            <w:rFonts w:ascii="仿宋_GB2312" w:eastAsia="仿宋_GB2312" w:hAnsi="仿宋_GB2312" w:cs="仿宋_GB2312" w:hint="eastAsia"/>
            <w:noProof/>
            <w:sz w:val="28"/>
            <w:szCs w:val="28"/>
          </w:rPr>
          <w:fldChar w:fldCharType="separate"/>
        </w:r>
        <w:r w:rsidR="00E92A82">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7C7727" w:rsidRDefault="00AD59FE" w:rsidP="008C092E">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13311" w:history="1">
        <w:r w:rsidR="000203A5">
          <w:rPr>
            <w:rFonts w:ascii="仿宋_GB2312" w:eastAsia="仿宋_GB2312" w:hAnsi="仿宋_GB2312" w:cs="仿宋_GB2312" w:hint="eastAsia"/>
            <w:noProof/>
            <w:kern w:val="0"/>
            <w:sz w:val="28"/>
            <w:szCs w:val="28"/>
          </w:rPr>
          <w:t>四、不相一致假设</w:t>
        </w:r>
        <w:r w:rsidR="000203A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203A5">
          <w:rPr>
            <w:rFonts w:ascii="仿宋_GB2312" w:eastAsia="仿宋_GB2312" w:hAnsi="仿宋_GB2312" w:cs="仿宋_GB2312" w:hint="eastAsia"/>
            <w:noProof/>
            <w:sz w:val="28"/>
            <w:szCs w:val="28"/>
          </w:rPr>
          <w:instrText xml:space="preserve"> PAGEREF _Toc13311 </w:instrText>
        </w:r>
        <w:r>
          <w:rPr>
            <w:rFonts w:ascii="仿宋_GB2312" w:eastAsia="仿宋_GB2312" w:hAnsi="仿宋_GB2312" w:cs="仿宋_GB2312" w:hint="eastAsia"/>
            <w:noProof/>
            <w:sz w:val="28"/>
            <w:szCs w:val="28"/>
          </w:rPr>
          <w:fldChar w:fldCharType="separate"/>
        </w:r>
        <w:r w:rsidR="00E92A82">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7C7727" w:rsidRDefault="00AD59FE" w:rsidP="008C092E">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8278" w:history="1">
        <w:r w:rsidR="000203A5">
          <w:rPr>
            <w:rFonts w:ascii="仿宋_GB2312" w:eastAsia="仿宋_GB2312" w:hAnsi="仿宋_GB2312" w:cs="仿宋_GB2312" w:hint="eastAsia"/>
            <w:noProof/>
            <w:kern w:val="0"/>
            <w:sz w:val="28"/>
            <w:szCs w:val="28"/>
          </w:rPr>
          <w:t>五、依据不足假设</w:t>
        </w:r>
        <w:r w:rsidR="000203A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203A5">
          <w:rPr>
            <w:rFonts w:ascii="仿宋_GB2312" w:eastAsia="仿宋_GB2312" w:hAnsi="仿宋_GB2312" w:cs="仿宋_GB2312" w:hint="eastAsia"/>
            <w:noProof/>
            <w:sz w:val="28"/>
            <w:szCs w:val="28"/>
          </w:rPr>
          <w:instrText xml:space="preserve"> PAGEREF _Toc8278 </w:instrText>
        </w:r>
        <w:r>
          <w:rPr>
            <w:rFonts w:ascii="仿宋_GB2312" w:eastAsia="仿宋_GB2312" w:hAnsi="仿宋_GB2312" w:cs="仿宋_GB2312" w:hint="eastAsia"/>
            <w:noProof/>
            <w:sz w:val="28"/>
            <w:szCs w:val="28"/>
          </w:rPr>
          <w:fldChar w:fldCharType="separate"/>
        </w:r>
        <w:r w:rsidR="00E92A82">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7C7727" w:rsidRDefault="00AD59FE" w:rsidP="008C092E">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5319" w:history="1">
        <w:r w:rsidR="000203A5">
          <w:rPr>
            <w:rFonts w:ascii="仿宋_GB2312" w:eastAsia="仿宋_GB2312" w:hAnsi="仿宋_GB2312" w:cs="仿宋_GB2312" w:hint="eastAsia"/>
            <w:noProof/>
            <w:kern w:val="0"/>
            <w:sz w:val="28"/>
            <w:szCs w:val="28"/>
          </w:rPr>
          <w:t>六、估价报告使用限制</w:t>
        </w:r>
        <w:r w:rsidR="000203A5">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203A5">
          <w:rPr>
            <w:rFonts w:ascii="仿宋_GB2312" w:eastAsia="仿宋_GB2312" w:hAnsi="仿宋_GB2312" w:cs="仿宋_GB2312" w:hint="eastAsia"/>
            <w:noProof/>
            <w:sz w:val="28"/>
            <w:szCs w:val="28"/>
          </w:rPr>
          <w:instrText xml:space="preserve"> PAGEREF _Toc5319 </w:instrText>
        </w:r>
        <w:r>
          <w:rPr>
            <w:rFonts w:ascii="仿宋_GB2312" w:eastAsia="仿宋_GB2312" w:hAnsi="仿宋_GB2312" w:cs="仿宋_GB2312" w:hint="eastAsia"/>
            <w:noProof/>
            <w:sz w:val="28"/>
            <w:szCs w:val="28"/>
          </w:rPr>
          <w:fldChar w:fldCharType="separate"/>
        </w:r>
        <w:r w:rsidR="00E92A82">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7C7727" w:rsidRDefault="00AD59FE">
      <w:pPr>
        <w:pStyle w:val="21"/>
        <w:tabs>
          <w:tab w:val="right" w:leader="dot" w:pos="8504"/>
        </w:tabs>
        <w:spacing w:line="500" w:lineRule="exact"/>
        <w:rPr>
          <w:rFonts w:ascii="仿宋_GB2312" w:eastAsia="仿宋_GB2312" w:hAnsi="仿宋_GB2312" w:cs="仿宋_GB2312"/>
          <w:b/>
          <w:bCs/>
          <w:noProof/>
          <w:sz w:val="28"/>
          <w:szCs w:val="28"/>
        </w:rPr>
      </w:pPr>
      <w:hyperlink w:anchor="_Toc17990" w:history="1">
        <w:r w:rsidR="000203A5">
          <w:rPr>
            <w:rFonts w:ascii="仿宋_GB2312" w:eastAsia="仿宋_GB2312" w:hAnsi="仿宋_GB2312" w:cs="仿宋_GB2312" w:hint="eastAsia"/>
            <w:b/>
            <w:bCs/>
            <w:noProof/>
            <w:sz w:val="28"/>
            <w:szCs w:val="28"/>
          </w:rPr>
          <w:t>房地产估价结果报告</w:t>
        </w:r>
        <w:r w:rsidR="000203A5">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0203A5">
          <w:rPr>
            <w:rFonts w:ascii="仿宋_GB2312" w:eastAsia="仿宋_GB2312" w:hAnsi="仿宋_GB2312" w:cs="仿宋_GB2312" w:hint="eastAsia"/>
            <w:b/>
            <w:bCs/>
            <w:noProof/>
            <w:sz w:val="28"/>
            <w:szCs w:val="28"/>
          </w:rPr>
          <w:instrText xml:space="preserve"> PAGEREF _Toc17990 </w:instrText>
        </w:r>
        <w:r>
          <w:rPr>
            <w:rFonts w:ascii="仿宋_GB2312" w:eastAsia="仿宋_GB2312" w:hAnsi="仿宋_GB2312" w:cs="仿宋_GB2312" w:hint="eastAsia"/>
            <w:b/>
            <w:bCs/>
            <w:noProof/>
            <w:sz w:val="28"/>
            <w:szCs w:val="28"/>
          </w:rPr>
          <w:fldChar w:fldCharType="separate"/>
        </w:r>
        <w:r w:rsidR="00E92A82">
          <w:rPr>
            <w:rFonts w:ascii="仿宋_GB2312" w:eastAsia="仿宋_GB2312" w:hAnsi="仿宋_GB2312" w:cs="仿宋_GB2312"/>
            <w:b/>
            <w:bCs/>
            <w:noProof/>
            <w:sz w:val="28"/>
            <w:szCs w:val="28"/>
          </w:rPr>
          <w:t>4</w:t>
        </w:r>
        <w:r>
          <w:rPr>
            <w:rFonts w:ascii="仿宋_GB2312" w:eastAsia="仿宋_GB2312" w:hAnsi="仿宋_GB2312" w:cs="仿宋_GB2312" w:hint="eastAsia"/>
            <w:b/>
            <w:bCs/>
            <w:noProof/>
            <w:sz w:val="28"/>
            <w:szCs w:val="28"/>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5061" w:history="1">
        <w:r w:rsidR="000203A5">
          <w:rPr>
            <w:rFonts w:hAnsi="仿宋_GB2312" w:cs="仿宋_GB2312" w:hint="eastAsia"/>
            <w:noProof/>
          </w:rPr>
          <w:t>一、估价委托方</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_Toc5061 </w:instrText>
        </w:r>
        <w:r>
          <w:rPr>
            <w:rFonts w:hAnsi="仿宋_GB2312" w:cs="仿宋_GB2312" w:hint="eastAsia"/>
            <w:noProof/>
          </w:rPr>
          <w:fldChar w:fldCharType="separate"/>
        </w:r>
        <w:r w:rsidR="00E92A82">
          <w:rPr>
            <w:rFonts w:hAnsi="仿宋_GB2312" w:cs="仿宋_GB2312"/>
            <w:noProof/>
          </w:rPr>
          <w:t>4</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6657" w:history="1">
        <w:r w:rsidR="000203A5">
          <w:rPr>
            <w:rFonts w:hAnsi="仿宋_GB2312" w:cs="仿宋_GB2312" w:hint="eastAsia"/>
            <w:noProof/>
          </w:rPr>
          <w:t>二、估价机构</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_Toc6657 </w:instrText>
        </w:r>
        <w:r>
          <w:rPr>
            <w:rFonts w:hAnsi="仿宋_GB2312" w:cs="仿宋_GB2312" w:hint="eastAsia"/>
            <w:noProof/>
          </w:rPr>
          <w:fldChar w:fldCharType="separate"/>
        </w:r>
        <w:r w:rsidR="00E92A82">
          <w:rPr>
            <w:rFonts w:hAnsi="仿宋_GB2312" w:cs="仿宋_GB2312"/>
            <w:noProof/>
          </w:rPr>
          <w:t>4</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15637" w:history="1">
        <w:r w:rsidR="000203A5">
          <w:rPr>
            <w:rFonts w:hAnsi="仿宋_GB2312" w:cs="仿宋_GB2312" w:hint="eastAsia"/>
            <w:noProof/>
          </w:rPr>
          <w:t>三、估价目的</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_Toc15637 </w:instrText>
        </w:r>
        <w:r>
          <w:rPr>
            <w:rFonts w:hAnsi="仿宋_GB2312" w:cs="仿宋_GB2312" w:hint="eastAsia"/>
            <w:noProof/>
          </w:rPr>
          <w:fldChar w:fldCharType="separate"/>
        </w:r>
        <w:r w:rsidR="00E92A82">
          <w:rPr>
            <w:rFonts w:hAnsi="仿宋_GB2312" w:cs="仿宋_GB2312"/>
            <w:noProof/>
          </w:rPr>
          <w:t>4</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27824" w:history="1">
        <w:r w:rsidR="000203A5">
          <w:rPr>
            <w:rFonts w:hAnsi="仿宋_GB2312" w:cs="仿宋_GB2312" w:hint="eastAsia"/>
            <w:noProof/>
          </w:rPr>
          <w:t>四、估价对象</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_Toc27824 </w:instrText>
        </w:r>
        <w:r>
          <w:rPr>
            <w:rFonts w:hAnsi="仿宋_GB2312" w:cs="仿宋_GB2312" w:hint="eastAsia"/>
            <w:noProof/>
          </w:rPr>
          <w:fldChar w:fldCharType="separate"/>
        </w:r>
        <w:r w:rsidR="00E92A82">
          <w:rPr>
            <w:rFonts w:hAnsi="仿宋_GB2312" w:cs="仿宋_GB2312"/>
            <w:noProof/>
          </w:rPr>
          <w:t>4</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9423" w:history="1">
        <w:r w:rsidR="000203A5">
          <w:rPr>
            <w:rFonts w:hAnsi="仿宋_GB2312" w:cs="仿宋_GB2312" w:hint="eastAsia"/>
            <w:noProof/>
          </w:rPr>
          <w:t>五、价值时点</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_Toc9423 </w:instrText>
        </w:r>
        <w:r>
          <w:rPr>
            <w:rFonts w:hAnsi="仿宋_GB2312" w:cs="仿宋_GB2312" w:hint="eastAsia"/>
            <w:noProof/>
          </w:rPr>
          <w:fldChar w:fldCharType="separate"/>
        </w:r>
        <w:r w:rsidR="00E92A82">
          <w:rPr>
            <w:rFonts w:hAnsi="仿宋_GB2312" w:cs="仿宋_GB2312"/>
            <w:noProof/>
          </w:rPr>
          <w:t>5</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13140" w:history="1">
        <w:r w:rsidR="000203A5">
          <w:rPr>
            <w:rFonts w:hAnsi="仿宋_GB2312" w:cs="仿宋_GB2312" w:hint="eastAsia"/>
            <w:noProof/>
          </w:rPr>
          <w:t>六、价值类型</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_Toc13140 </w:instrText>
        </w:r>
        <w:r>
          <w:rPr>
            <w:rFonts w:hAnsi="仿宋_GB2312" w:cs="仿宋_GB2312" w:hint="eastAsia"/>
            <w:noProof/>
          </w:rPr>
          <w:fldChar w:fldCharType="separate"/>
        </w:r>
        <w:r w:rsidR="00E92A82">
          <w:rPr>
            <w:rFonts w:hAnsi="仿宋_GB2312" w:cs="仿宋_GB2312"/>
            <w:noProof/>
          </w:rPr>
          <w:t>5</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12" w:history="1">
        <w:r w:rsidR="000203A5">
          <w:rPr>
            <w:rFonts w:hAnsi="仿宋_GB2312" w:cs="仿宋_GB2312" w:hint="eastAsia"/>
            <w:noProof/>
          </w:rPr>
          <w:t>七、估价原则</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_Toc12 </w:instrText>
        </w:r>
        <w:r>
          <w:rPr>
            <w:rFonts w:hAnsi="仿宋_GB2312" w:cs="仿宋_GB2312" w:hint="eastAsia"/>
            <w:noProof/>
          </w:rPr>
          <w:fldChar w:fldCharType="separate"/>
        </w:r>
        <w:r w:rsidR="00E92A82">
          <w:rPr>
            <w:rFonts w:hAnsi="仿宋_GB2312" w:cs="仿宋_GB2312"/>
            <w:noProof/>
          </w:rPr>
          <w:t>5</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6714" w:history="1">
        <w:r w:rsidR="000203A5">
          <w:rPr>
            <w:rFonts w:hAnsi="仿宋_GB2312" w:cs="仿宋_GB2312" w:hint="eastAsia"/>
            <w:noProof/>
          </w:rPr>
          <w:t>八、估价依据</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_Toc6714 </w:instrText>
        </w:r>
        <w:r>
          <w:rPr>
            <w:rFonts w:hAnsi="仿宋_GB2312" w:cs="仿宋_GB2312" w:hint="eastAsia"/>
            <w:noProof/>
          </w:rPr>
          <w:fldChar w:fldCharType="separate"/>
        </w:r>
        <w:r w:rsidR="00E92A82">
          <w:rPr>
            <w:rFonts w:hAnsi="仿宋_GB2312" w:cs="仿宋_GB2312"/>
            <w:noProof/>
          </w:rPr>
          <w:t>6</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20253" w:history="1">
        <w:r w:rsidR="000203A5">
          <w:rPr>
            <w:rFonts w:hAnsi="仿宋_GB2312" w:cs="仿宋_GB2312" w:hint="eastAsia"/>
            <w:noProof/>
          </w:rPr>
          <w:t>九、估价方法</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_Toc20253 </w:instrText>
        </w:r>
        <w:r>
          <w:rPr>
            <w:rFonts w:hAnsi="仿宋_GB2312" w:cs="仿宋_GB2312" w:hint="eastAsia"/>
            <w:noProof/>
          </w:rPr>
          <w:fldChar w:fldCharType="separate"/>
        </w:r>
        <w:r w:rsidR="00E92A82">
          <w:rPr>
            <w:rFonts w:hAnsi="仿宋_GB2312" w:cs="仿宋_GB2312"/>
            <w:noProof/>
          </w:rPr>
          <w:t>7</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22751" w:history="1">
        <w:r w:rsidR="000203A5">
          <w:rPr>
            <w:rFonts w:hAnsi="仿宋_GB2312" w:cs="仿宋_GB2312" w:hint="eastAsia"/>
            <w:noProof/>
          </w:rPr>
          <w:t>十、估价结果</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_Toc22751 </w:instrText>
        </w:r>
        <w:r>
          <w:rPr>
            <w:rFonts w:hAnsi="仿宋_GB2312" w:cs="仿宋_GB2312" w:hint="eastAsia"/>
            <w:noProof/>
          </w:rPr>
          <w:fldChar w:fldCharType="separate"/>
        </w:r>
        <w:r w:rsidR="00E92A82">
          <w:rPr>
            <w:rFonts w:hAnsi="仿宋_GB2312" w:cs="仿宋_GB2312"/>
            <w:noProof/>
          </w:rPr>
          <w:t>8</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27212" w:history="1">
        <w:r w:rsidR="000203A5">
          <w:rPr>
            <w:rFonts w:hAnsi="仿宋_GB2312" w:cs="仿宋_GB2312" w:hint="eastAsia"/>
            <w:noProof/>
          </w:rPr>
          <w:t>十一、注册房地产估价师</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_Toc27212 </w:instrText>
        </w:r>
        <w:r>
          <w:rPr>
            <w:rFonts w:hAnsi="仿宋_GB2312" w:cs="仿宋_GB2312" w:hint="eastAsia"/>
            <w:noProof/>
          </w:rPr>
          <w:fldChar w:fldCharType="separate"/>
        </w:r>
        <w:r w:rsidR="00E92A82">
          <w:rPr>
            <w:rFonts w:hAnsi="仿宋_GB2312" w:cs="仿宋_GB2312"/>
            <w:noProof/>
          </w:rPr>
          <w:t>9</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29210" w:history="1">
        <w:r w:rsidR="000203A5">
          <w:rPr>
            <w:rFonts w:hAnsi="仿宋_GB2312" w:cs="仿宋_GB2312" w:hint="eastAsia"/>
            <w:noProof/>
          </w:rPr>
          <w:t>十二、实地查勘期</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_Toc29210 </w:instrText>
        </w:r>
        <w:r>
          <w:rPr>
            <w:rFonts w:hAnsi="仿宋_GB2312" w:cs="仿宋_GB2312" w:hint="eastAsia"/>
            <w:noProof/>
          </w:rPr>
          <w:fldChar w:fldCharType="separate"/>
        </w:r>
        <w:r w:rsidR="00E92A82">
          <w:rPr>
            <w:rFonts w:hAnsi="仿宋_GB2312" w:cs="仿宋_GB2312"/>
            <w:noProof/>
          </w:rPr>
          <w:t>9</w:t>
        </w:r>
        <w:r>
          <w:rPr>
            <w:rFonts w:hAnsi="仿宋_GB2312" w:cs="仿宋_GB2312" w:hint="eastAsia"/>
            <w:noProof/>
          </w:rPr>
          <w:fldChar w:fldCharType="end"/>
        </w:r>
      </w:hyperlink>
    </w:p>
    <w:p w:rsidR="007C7727" w:rsidRDefault="00AD59FE">
      <w:pPr>
        <w:pStyle w:val="30"/>
        <w:tabs>
          <w:tab w:val="clear" w:pos="8296"/>
          <w:tab w:val="right" w:leader="dot" w:pos="8504"/>
        </w:tabs>
        <w:spacing w:line="500" w:lineRule="exact"/>
        <w:rPr>
          <w:rFonts w:hAnsi="仿宋_GB2312" w:cs="仿宋_GB2312"/>
          <w:noProof/>
        </w:rPr>
      </w:pPr>
      <w:hyperlink w:anchor="_Toc3558" w:history="1">
        <w:r w:rsidR="000203A5">
          <w:rPr>
            <w:rFonts w:hAnsi="仿宋_GB2312" w:cs="仿宋_GB2312" w:hint="eastAsia"/>
            <w:noProof/>
          </w:rPr>
          <w:t>十三、估价作业期</w:t>
        </w:r>
        <w:r w:rsidR="000203A5">
          <w:rPr>
            <w:rFonts w:hAnsi="仿宋_GB2312" w:cs="仿宋_GB2312" w:hint="eastAsia"/>
            <w:noProof/>
          </w:rPr>
          <w:tab/>
        </w:r>
        <w:r>
          <w:rPr>
            <w:rFonts w:hAnsi="仿宋_GB2312" w:cs="仿宋_GB2312" w:hint="eastAsia"/>
            <w:noProof/>
          </w:rPr>
          <w:fldChar w:fldCharType="begin"/>
        </w:r>
        <w:r w:rsidR="000203A5">
          <w:rPr>
            <w:rFonts w:hAnsi="仿宋_GB2312" w:cs="仿宋_GB2312" w:hint="eastAsia"/>
            <w:noProof/>
          </w:rPr>
          <w:instrText xml:space="preserve"> PAGEREF _Toc3558 </w:instrText>
        </w:r>
        <w:r>
          <w:rPr>
            <w:rFonts w:hAnsi="仿宋_GB2312" w:cs="仿宋_GB2312" w:hint="eastAsia"/>
            <w:noProof/>
          </w:rPr>
          <w:fldChar w:fldCharType="separate"/>
        </w:r>
        <w:r w:rsidR="00E92A82">
          <w:rPr>
            <w:rFonts w:hAnsi="仿宋_GB2312" w:cs="仿宋_GB2312"/>
            <w:noProof/>
          </w:rPr>
          <w:t>9</w:t>
        </w:r>
        <w:r>
          <w:rPr>
            <w:rFonts w:hAnsi="仿宋_GB2312" w:cs="仿宋_GB2312" w:hint="eastAsia"/>
            <w:noProof/>
          </w:rPr>
          <w:fldChar w:fldCharType="end"/>
        </w:r>
      </w:hyperlink>
    </w:p>
    <w:p w:rsidR="007C7727" w:rsidRDefault="00AD59FE">
      <w:pPr>
        <w:pStyle w:val="21"/>
        <w:tabs>
          <w:tab w:val="right" w:leader="dot" w:pos="8504"/>
        </w:tabs>
        <w:spacing w:line="500" w:lineRule="exact"/>
        <w:rPr>
          <w:b/>
          <w:bCs/>
          <w:noProof/>
        </w:rPr>
      </w:pPr>
      <w:hyperlink w:anchor="_Toc10893" w:history="1">
        <w:r w:rsidR="000203A5">
          <w:rPr>
            <w:rFonts w:ascii="仿宋_GB2312" w:eastAsia="仿宋_GB2312" w:hAnsi="仿宋_GB2312" w:cs="仿宋_GB2312" w:hint="eastAsia"/>
            <w:b/>
            <w:bCs/>
            <w:noProof/>
            <w:sz w:val="28"/>
            <w:szCs w:val="28"/>
          </w:rPr>
          <w:t>附    件</w:t>
        </w:r>
        <w:r w:rsidR="000203A5">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0203A5">
          <w:rPr>
            <w:rFonts w:ascii="仿宋_GB2312" w:eastAsia="仿宋_GB2312" w:hAnsi="仿宋_GB2312" w:cs="仿宋_GB2312" w:hint="eastAsia"/>
            <w:b/>
            <w:bCs/>
            <w:noProof/>
            <w:sz w:val="28"/>
            <w:szCs w:val="28"/>
          </w:rPr>
          <w:instrText xml:space="preserve"> PAGEREF _Toc10893 </w:instrText>
        </w:r>
        <w:r>
          <w:rPr>
            <w:rFonts w:ascii="仿宋_GB2312" w:eastAsia="仿宋_GB2312" w:hAnsi="仿宋_GB2312" w:cs="仿宋_GB2312" w:hint="eastAsia"/>
            <w:b/>
            <w:bCs/>
            <w:noProof/>
            <w:sz w:val="28"/>
            <w:szCs w:val="28"/>
          </w:rPr>
          <w:fldChar w:fldCharType="separate"/>
        </w:r>
        <w:r w:rsidR="00E92A82">
          <w:rPr>
            <w:rFonts w:ascii="仿宋_GB2312" w:eastAsia="仿宋_GB2312" w:hAnsi="仿宋_GB2312" w:cs="仿宋_GB2312"/>
            <w:b/>
            <w:bCs/>
            <w:noProof/>
            <w:sz w:val="28"/>
            <w:szCs w:val="28"/>
          </w:rPr>
          <w:t>9</w:t>
        </w:r>
        <w:r>
          <w:rPr>
            <w:rFonts w:ascii="仿宋_GB2312" w:eastAsia="仿宋_GB2312" w:hAnsi="仿宋_GB2312" w:cs="仿宋_GB2312" w:hint="eastAsia"/>
            <w:b/>
            <w:bCs/>
            <w:noProof/>
            <w:sz w:val="28"/>
            <w:szCs w:val="28"/>
          </w:rPr>
          <w:fldChar w:fldCharType="end"/>
        </w:r>
      </w:hyperlink>
    </w:p>
    <w:p w:rsidR="007C7727" w:rsidRDefault="00AD59FE">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Cs w:val="28"/>
        </w:rPr>
        <w:fldChar w:fldCharType="end"/>
      </w:r>
    </w:p>
    <w:p w:rsidR="007C7727" w:rsidRDefault="007C7727" w:rsidP="008C092E">
      <w:pPr>
        <w:pStyle w:val="30"/>
        <w:spacing w:beforeLines="25" w:afterLines="25" w:line="360" w:lineRule="auto"/>
        <w:ind w:leftChars="0" w:left="0"/>
        <w:jc w:val="left"/>
        <w:rPr>
          <w:rStyle w:val="af"/>
          <w:rFonts w:hAnsi="仿宋"/>
          <w:sz w:val="24"/>
          <w:szCs w:val="24"/>
        </w:rPr>
        <w:sectPr w:rsidR="007C7727">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7C7727" w:rsidRDefault="000203A5">
      <w:pPr>
        <w:pStyle w:val="2"/>
        <w:spacing w:before="240" w:after="240" w:line="240" w:lineRule="auto"/>
        <w:jc w:val="center"/>
        <w:rPr>
          <w:rFonts w:ascii="宋体" w:eastAsia="宋体" w:hAnsi="宋体"/>
          <w:sz w:val="36"/>
          <w:szCs w:val="36"/>
        </w:rPr>
      </w:pPr>
      <w:bookmarkStart w:id="1" w:name="_Toc28594"/>
      <w:bookmarkStart w:id="2" w:name="_Toc495322693"/>
      <w:bookmarkStart w:id="3" w:name="_Toc503010958"/>
      <w:bookmarkStart w:id="4" w:name="_Toc378078821"/>
      <w:r>
        <w:rPr>
          <w:rFonts w:ascii="宋体" w:eastAsia="宋体" w:hAnsi="宋体"/>
          <w:sz w:val="36"/>
          <w:szCs w:val="36"/>
        </w:rPr>
        <w:lastRenderedPageBreak/>
        <w:t>估</w:t>
      </w:r>
      <w:bookmarkStart w:id="5" w:name="_GoBack"/>
      <w:bookmarkEnd w:id="5"/>
      <w:r>
        <w:rPr>
          <w:rFonts w:ascii="宋体" w:eastAsia="宋体" w:hAnsi="宋体"/>
          <w:sz w:val="36"/>
          <w:szCs w:val="36"/>
        </w:rPr>
        <w:t xml:space="preserve"> 价 师 声 明</w:t>
      </w:r>
      <w:bookmarkEnd w:id="1"/>
      <w:bookmarkEnd w:id="2"/>
      <w:bookmarkEnd w:id="3"/>
    </w:p>
    <w:p w:rsidR="007C7727" w:rsidRDefault="000203A5">
      <w:pPr>
        <w:adjustRightInd w:val="0"/>
        <w:snapToGrid w:val="0"/>
        <w:spacing w:before="100" w:beforeAutospacing="1" w:after="100" w:afterAutospacing="1"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7C7727" w:rsidRDefault="000203A5">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7C7727" w:rsidRDefault="000203A5">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7C7727" w:rsidRDefault="000203A5">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7C7727" w:rsidRDefault="000203A5">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7C7727" w:rsidRDefault="000203A5">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7C7727" w:rsidRDefault="000203A5">
      <w:pPr>
        <w:spacing w:line="360" w:lineRule="auto"/>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z w:val="28"/>
        </w:rPr>
        <w:t>注册房地产估价师：</w:t>
      </w:r>
    </w:p>
    <w:tbl>
      <w:tblPr>
        <w:tblStyle w:val="af1"/>
        <w:tblW w:w="8946" w:type="dxa"/>
        <w:jc w:val="center"/>
        <w:tblLayout w:type="fixed"/>
        <w:tblLook w:val="04A0"/>
      </w:tblPr>
      <w:tblGrid>
        <w:gridCol w:w="1295"/>
        <w:gridCol w:w="1648"/>
        <w:gridCol w:w="1935"/>
        <w:gridCol w:w="4068"/>
      </w:tblGrid>
      <w:tr w:rsidR="007C7727">
        <w:trPr>
          <w:trHeight w:val="594"/>
          <w:jc w:val="center"/>
        </w:trPr>
        <w:tc>
          <w:tcPr>
            <w:tcW w:w="1295"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48"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35"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068"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7C7727">
        <w:trPr>
          <w:trHeight w:hRule="exact" w:val="1771"/>
          <w:jc w:val="center"/>
        </w:trPr>
        <w:tc>
          <w:tcPr>
            <w:tcW w:w="1295"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48"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35" w:type="dxa"/>
            <w:vAlign w:val="center"/>
          </w:tcPr>
          <w:p w:rsidR="007C7727" w:rsidRDefault="007C7727">
            <w:pPr>
              <w:adjustRightInd w:val="0"/>
              <w:snapToGrid w:val="0"/>
              <w:spacing w:line="440" w:lineRule="exact"/>
              <w:textAlignment w:val="baseline"/>
              <w:rPr>
                <w:rFonts w:ascii="Arial Narrow" w:eastAsia="仿宋_GB2312" w:hAnsi="Arial Narrow"/>
                <w:kern w:val="0"/>
                <w:sz w:val="28"/>
                <w:szCs w:val="28"/>
              </w:rPr>
            </w:pPr>
          </w:p>
        </w:tc>
        <w:tc>
          <w:tcPr>
            <w:tcW w:w="4068" w:type="dxa"/>
            <w:vAlign w:val="center"/>
          </w:tcPr>
          <w:p w:rsidR="007C7727" w:rsidRDefault="007C7727">
            <w:pPr>
              <w:adjustRightInd w:val="0"/>
              <w:snapToGrid w:val="0"/>
              <w:spacing w:line="440" w:lineRule="exact"/>
              <w:jc w:val="center"/>
              <w:textAlignment w:val="baseline"/>
              <w:rPr>
                <w:rFonts w:ascii="Arial Narrow" w:eastAsia="仿宋_GB2312" w:hAnsi="Arial Narrow"/>
                <w:kern w:val="0"/>
                <w:sz w:val="28"/>
                <w:szCs w:val="28"/>
              </w:rPr>
            </w:pPr>
          </w:p>
        </w:tc>
      </w:tr>
      <w:tr w:rsidR="007C7727">
        <w:trPr>
          <w:trHeight w:hRule="exact" w:val="1916"/>
          <w:jc w:val="center"/>
        </w:trPr>
        <w:tc>
          <w:tcPr>
            <w:tcW w:w="1295"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648"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35" w:type="dxa"/>
            <w:vAlign w:val="center"/>
          </w:tcPr>
          <w:p w:rsidR="007C7727" w:rsidRDefault="007C7727">
            <w:pPr>
              <w:rPr>
                <w:rFonts w:ascii="Arial Narrow" w:eastAsia="仿宋_GB2312" w:hAnsi="Arial Narrow"/>
                <w:sz w:val="28"/>
                <w:szCs w:val="28"/>
              </w:rPr>
            </w:pPr>
          </w:p>
        </w:tc>
        <w:tc>
          <w:tcPr>
            <w:tcW w:w="4068" w:type="dxa"/>
            <w:vAlign w:val="center"/>
          </w:tcPr>
          <w:p w:rsidR="007C7727" w:rsidRDefault="007C7727">
            <w:pPr>
              <w:adjustRightInd w:val="0"/>
              <w:snapToGrid w:val="0"/>
              <w:spacing w:line="440" w:lineRule="exact"/>
              <w:jc w:val="center"/>
              <w:textAlignment w:val="baseline"/>
              <w:rPr>
                <w:rFonts w:ascii="Arial Narrow" w:eastAsia="仿宋_GB2312" w:hAnsi="Arial Narrow"/>
                <w:kern w:val="0"/>
                <w:sz w:val="28"/>
                <w:szCs w:val="28"/>
              </w:rPr>
            </w:pPr>
          </w:p>
        </w:tc>
      </w:tr>
    </w:tbl>
    <w:p w:rsidR="007C7727" w:rsidRDefault="007C7727">
      <w:pPr>
        <w:spacing w:line="100" w:lineRule="atLeast"/>
        <w:ind w:firstLineChars="200" w:firstLine="200"/>
        <w:rPr>
          <w:rFonts w:ascii="仿宋_GB2312" w:eastAsia="仿宋_GB2312" w:hAnsi="仿宋"/>
          <w:sz w:val="10"/>
          <w:szCs w:val="10"/>
        </w:rPr>
      </w:pPr>
    </w:p>
    <w:p w:rsidR="007C7727" w:rsidRDefault="000203A5" w:rsidP="008C092E">
      <w:pPr>
        <w:pStyle w:val="2"/>
        <w:spacing w:before="0" w:afterLines="50" w:line="240" w:lineRule="auto"/>
        <w:jc w:val="center"/>
        <w:rPr>
          <w:rFonts w:ascii="宋体" w:eastAsia="宋体" w:hAnsi="宋体"/>
          <w:sz w:val="36"/>
          <w:szCs w:val="36"/>
        </w:rPr>
      </w:pPr>
      <w:bookmarkStart w:id="6" w:name="_Toc495322694"/>
      <w:bookmarkStart w:id="7" w:name="_Toc11442"/>
      <w:r>
        <w:rPr>
          <w:rFonts w:ascii="宋体" w:eastAsia="宋体" w:hAnsi="宋体"/>
          <w:sz w:val="36"/>
          <w:szCs w:val="36"/>
        </w:rPr>
        <w:br w:type="page"/>
      </w:r>
    </w:p>
    <w:p w:rsidR="007C7727" w:rsidRDefault="000203A5" w:rsidP="008C092E">
      <w:pPr>
        <w:pStyle w:val="2"/>
        <w:spacing w:before="0" w:afterLines="50" w:line="240" w:lineRule="auto"/>
        <w:jc w:val="center"/>
        <w:rPr>
          <w:rFonts w:ascii="宋体" w:eastAsia="宋体" w:hAnsi="宋体"/>
          <w:sz w:val="36"/>
          <w:szCs w:val="36"/>
        </w:rPr>
      </w:pPr>
      <w:r>
        <w:rPr>
          <w:rFonts w:ascii="宋体" w:eastAsia="宋体" w:hAnsi="宋体"/>
          <w:sz w:val="36"/>
          <w:szCs w:val="36"/>
        </w:rPr>
        <w:lastRenderedPageBreak/>
        <w:t>估价的假设和限制条件</w:t>
      </w:r>
      <w:bookmarkEnd w:id="6"/>
      <w:bookmarkEnd w:id="7"/>
    </w:p>
    <w:p w:rsidR="007C7727" w:rsidRDefault="000203A5">
      <w:pPr>
        <w:spacing w:line="440" w:lineRule="exact"/>
        <w:ind w:firstLineChars="200" w:firstLine="544"/>
        <w:rPr>
          <w:rFonts w:ascii="仿宋_GB2312" w:eastAsia="仿宋_GB2312" w:hAnsi="仿宋"/>
          <w:spacing w:val="-4"/>
          <w:sz w:val="28"/>
          <w:szCs w:val="28"/>
        </w:rPr>
      </w:pPr>
      <w:bookmarkStart w:id="8" w:name="_Toc378078818"/>
      <w:bookmarkStart w:id="9" w:name="_Toc209953879"/>
      <w:bookmarkStart w:id="10" w:name="_Toc409126328"/>
      <w:bookmarkStart w:id="11" w:name="_Toc499044819"/>
      <w:bookmarkEnd w:id="4"/>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7C7727" w:rsidRDefault="000203A5">
      <w:pPr>
        <w:pStyle w:val="2"/>
        <w:adjustRightInd w:val="0"/>
        <w:snapToGrid w:val="0"/>
        <w:spacing w:before="0" w:after="0" w:line="440" w:lineRule="exact"/>
        <w:ind w:firstLineChars="200" w:firstLine="562"/>
        <w:rPr>
          <w:rStyle w:val="3Char"/>
          <w:rFonts w:eastAsia="仿宋_GB2312"/>
          <w:b/>
          <w:kern w:val="0"/>
          <w:sz w:val="28"/>
          <w:szCs w:val="28"/>
        </w:rPr>
      </w:pPr>
      <w:bookmarkStart w:id="12" w:name="_Toc2345"/>
      <w:r>
        <w:rPr>
          <w:rStyle w:val="3Char"/>
          <w:rFonts w:eastAsia="仿宋_GB2312"/>
          <w:b/>
          <w:kern w:val="0"/>
          <w:sz w:val="28"/>
          <w:szCs w:val="28"/>
        </w:rPr>
        <w:t>一、本次估价的</w:t>
      </w:r>
      <w:bookmarkEnd w:id="8"/>
      <w:bookmarkEnd w:id="9"/>
      <w:bookmarkEnd w:id="10"/>
      <w:bookmarkEnd w:id="11"/>
      <w:r>
        <w:rPr>
          <w:rStyle w:val="3Char"/>
          <w:rFonts w:eastAsia="仿宋_GB2312" w:hint="eastAsia"/>
          <w:b/>
          <w:kern w:val="0"/>
          <w:sz w:val="28"/>
          <w:szCs w:val="28"/>
        </w:rPr>
        <w:t>一般假设</w:t>
      </w:r>
      <w:bookmarkEnd w:id="12"/>
    </w:p>
    <w:p w:rsidR="007C7727" w:rsidRDefault="000203A5">
      <w:pPr>
        <w:spacing w:line="440" w:lineRule="exact"/>
        <w:ind w:firstLineChars="200" w:firstLine="544"/>
        <w:rPr>
          <w:rFonts w:ascii="仿宋_GB2312" w:eastAsia="仿宋_GB2312" w:hAnsi="仿宋"/>
          <w:spacing w:val="-4"/>
          <w:sz w:val="28"/>
          <w:szCs w:val="28"/>
        </w:rPr>
      </w:pPr>
      <w:bookmarkStart w:id="13" w:name="_Toc378078819"/>
      <w:bookmarkStart w:id="14" w:name="_Toc499044820"/>
      <w:r>
        <w:rPr>
          <w:rFonts w:ascii="仿宋_GB2312" w:eastAsia="仿宋_GB2312" w:hAnsi="仿宋" w:hint="eastAsia"/>
          <w:spacing w:val="-4"/>
          <w:sz w:val="28"/>
          <w:szCs w:val="28"/>
        </w:rPr>
        <w:t>1．本次估价是以估价对象权属清晰，且无权属纠纷，可以合法进行市场交易的房地产为假设前提。</w:t>
      </w:r>
    </w:p>
    <w:p w:rsidR="007C7727" w:rsidRDefault="000203A5">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7C7727" w:rsidRDefault="000203A5">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3．在报告有效期内的房地产市场供应关系、市场结构保持稳定、未发生重大变化或实质性改变，并排除不可抗力影响。</w:t>
      </w:r>
    </w:p>
    <w:p w:rsidR="007C7727" w:rsidRDefault="000203A5">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rsidR="007C7727" w:rsidRDefault="000203A5">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5．估价对象在价值时点的房地产市场为公平、平等、自愿的交易市场。</w:t>
      </w:r>
    </w:p>
    <w:p w:rsidR="007C7727" w:rsidRDefault="000203A5">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21840"/>
      <w:r>
        <w:rPr>
          <w:rStyle w:val="3Char"/>
          <w:rFonts w:ascii="Arial Narrow" w:eastAsia="仿宋_GB2312" w:hAnsi="Arial Narrow"/>
          <w:b/>
          <w:kern w:val="0"/>
          <w:sz w:val="28"/>
          <w:szCs w:val="28"/>
        </w:rPr>
        <w:t>二、</w:t>
      </w:r>
      <w:bookmarkEnd w:id="13"/>
      <w:bookmarkEnd w:id="14"/>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5"/>
    </w:p>
    <w:p w:rsidR="007C7727" w:rsidRDefault="000203A5">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1.估价对象《备案房产档案查档证明》未记载建筑物的建成年代，估价委托人亦未提供相关资料，经注册房地产估价师实地查勘了解到该房屋建成于2018年，</w:t>
      </w:r>
      <w:r>
        <w:rPr>
          <w:rFonts w:ascii="仿宋_GB2312" w:eastAsia="仿宋_GB2312" w:hAnsi="仿宋" w:hint="eastAsia"/>
          <w:spacing w:val="-6"/>
          <w:sz w:val="28"/>
          <w:szCs w:val="28"/>
        </w:rPr>
        <w:t>仅在本次估价中使用，不作其他任何用途使用。</w:t>
      </w:r>
    </w:p>
    <w:p w:rsidR="007C7727" w:rsidRDefault="000203A5">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2．估价委托人未提供估价对象占用土地的相关信息，本次估价以估价对象为完全产权为假设前提。</w:t>
      </w:r>
    </w:p>
    <w:p w:rsidR="007C7727" w:rsidRDefault="000203A5">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6" w:name="_Toc499044821"/>
      <w:bookmarkStart w:id="17" w:name="_Toc378078820"/>
      <w:bookmarkStart w:id="18" w:name="_Toc14436"/>
      <w:r>
        <w:rPr>
          <w:rStyle w:val="3Char"/>
          <w:rFonts w:ascii="Arial Narrow" w:eastAsia="仿宋_GB2312" w:hAnsi="Arial Narrow"/>
          <w:b/>
          <w:kern w:val="0"/>
          <w:sz w:val="28"/>
          <w:szCs w:val="28"/>
        </w:rPr>
        <w:t>三、</w:t>
      </w:r>
      <w:bookmarkEnd w:id="16"/>
      <w:bookmarkEnd w:id="17"/>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8"/>
    </w:p>
    <w:p w:rsidR="007C7727" w:rsidRDefault="000203A5">
      <w:pPr>
        <w:pStyle w:val="a7"/>
        <w:spacing w:line="440" w:lineRule="exact"/>
        <w:ind w:firstLineChars="200" w:firstLine="560"/>
        <w:rPr>
          <w:rFonts w:ascii="仿宋_GB2312" w:eastAsia="仿宋_GB2312" w:hAnsi="仿宋"/>
          <w:sz w:val="28"/>
          <w:szCs w:val="28"/>
        </w:rPr>
      </w:pPr>
      <w:bookmarkStart w:id="19" w:name="_Toc499044822"/>
      <w:r>
        <w:rPr>
          <w:rFonts w:ascii="仿宋_GB2312" w:eastAsia="仿宋_GB2312" w:hAnsi="仿宋" w:hint="eastAsia"/>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7C7727" w:rsidRDefault="000203A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2．估价结果未考虑估价对象及其所有权人已承担的债务、或有债务及经营决策失误或市场运作失当对其价值的影响。</w:t>
      </w:r>
    </w:p>
    <w:p w:rsidR="007C7727" w:rsidRDefault="000203A5">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13311"/>
      <w:r>
        <w:rPr>
          <w:rStyle w:val="3Char"/>
          <w:rFonts w:ascii="Arial Narrow" w:eastAsia="仿宋_GB2312" w:hAnsi="Arial Narrow"/>
          <w:b/>
          <w:kern w:val="0"/>
          <w:sz w:val="28"/>
          <w:szCs w:val="28"/>
        </w:rPr>
        <w:lastRenderedPageBreak/>
        <w:t>四、</w:t>
      </w:r>
      <w:bookmarkEnd w:id="19"/>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20"/>
    </w:p>
    <w:p w:rsidR="007C7727" w:rsidRDefault="000203A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7C7727" w:rsidRDefault="000203A5">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8278"/>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1"/>
    </w:p>
    <w:p w:rsidR="007C7727" w:rsidRDefault="000203A5">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无依据不足假设</w:t>
      </w:r>
      <w:r>
        <w:rPr>
          <w:rFonts w:ascii="Arial Narrow" w:eastAsia="仿宋_GB2312" w:hAnsi="Arial Narrow" w:hint="eastAsia"/>
          <w:sz w:val="28"/>
        </w:rPr>
        <w:t>。</w:t>
      </w:r>
    </w:p>
    <w:p w:rsidR="007C7727" w:rsidRDefault="000203A5">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2" w:name="_Toc5319"/>
      <w:r>
        <w:rPr>
          <w:rStyle w:val="3Char"/>
          <w:rFonts w:ascii="Arial Narrow" w:eastAsia="仿宋_GB2312" w:hAnsi="Arial Narrow"/>
          <w:b/>
          <w:kern w:val="0"/>
          <w:sz w:val="28"/>
          <w:szCs w:val="28"/>
        </w:rPr>
        <w:t>六、估价报告使用</w:t>
      </w:r>
      <w:r>
        <w:rPr>
          <w:rStyle w:val="3Char"/>
          <w:rFonts w:ascii="Arial Narrow" w:eastAsia="仿宋_GB2312" w:hAnsi="Arial Narrow" w:hint="eastAsia"/>
          <w:b/>
          <w:kern w:val="0"/>
          <w:sz w:val="28"/>
          <w:szCs w:val="28"/>
        </w:rPr>
        <w:t>限制</w:t>
      </w:r>
      <w:bookmarkEnd w:id="22"/>
    </w:p>
    <w:p w:rsidR="007C7727" w:rsidRDefault="000203A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 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7C7727" w:rsidRDefault="000203A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本次估价结果有效期</w:t>
      </w:r>
      <w:r>
        <w:rPr>
          <w:rFonts w:ascii="仿宋_GB2312" w:eastAsia="仿宋_GB2312" w:hAnsi="仿宋" w:hint="eastAsia"/>
          <w:sz w:val="28"/>
          <w:szCs w:val="28"/>
        </w:rPr>
        <w:t>壹年（</w:t>
      </w:r>
      <w:r>
        <w:rPr>
          <w:rFonts w:ascii="仿宋_GB2312" w:eastAsia="仿宋_GB2312" w:hAnsi="仿宋"/>
          <w:sz w:val="28"/>
          <w:szCs w:val="28"/>
        </w:rPr>
        <w:t>自</w:t>
      </w:r>
      <w:r>
        <w:rPr>
          <w:rFonts w:ascii="仿宋_GB2312" w:eastAsia="仿宋_GB2312" w:hAnsi="仿宋" w:hint="eastAsia"/>
          <w:sz w:val="28"/>
          <w:szCs w:val="28"/>
        </w:rPr>
        <w:t>2018年9月</w:t>
      </w:r>
      <w:r w:rsidR="008C092E">
        <w:rPr>
          <w:rFonts w:ascii="仿宋_GB2312" w:eastAsia="仿宋_GB2312" w:hAnsi="仿宋" w:hint="eastAsia"/>
          <w:sz w:val="28"/>
          <w:szCs w:val="28"/>
        </w:rPr>
        <w:t>28</w:t>
      </w:r>
      <w:r>
        <w:rPr>
          <w:rFonts w:ascii="仿宋_GB2312" w:eastAsia="仿宋_GB2312" w:hAnsi="仿宋" w:hint="eastAsia"/>
          <w:sz w:val="28"/>
          <w:szCs w:val="28"/>
        </w:rPr>
        <w:t>日至2019年9月</w:t>
      </w:r>
      <w:r w:rsidR="008C092E">
        <w:rPr>
          <w:rFonts w:ascii="仿宋_GB2312" w:eastAsia="仿宋_GB2312" w:hAnsi="仿宋" w:hint="eastAsia"/>
          <w:sz w:val="28"/>
          <w:szCs w:val="28"/>
        </w:rPr>
        <w:t>27</w:t>
      </w:r>
      <w:r>
        <w:rPr>
          <w:rFonts w:ascii="仿宋_GB2312" w:eastAsia="仿宋_GB2312" w:hAnsi="仿宋" w:hint="eastAsia"/>
          <w:sz w:val="28"/>
          <w:szCs w:val="28"/>
        </w:rPr>
        <w:t>日）。但价值时点后，在报告有效期内估价对象的质量及价格标准发生变化，并对估价对象价值产生明显影响时，不能直接使用本估价报告；超过一年，需重新进行估价。</w:t>
      </w:r>
    </w:p>
    <w:p w:rsidR="007C7727" w:rsidRDefault="000203A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3.本估价报告专为估价委托人所使用。未经本机构同意，不得向估价委托人和报告审查部门之外的单位和个人提供或公开发表。</w:t>
      </w:r>
    </w:p>
    <w:p w:rsidR="007C7727" w:rsidRDefault="000203A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4.本报告由山东智乾土地房地产评估咨询有限公司负责解释。</w:t>
      </w:r>
    </w:p>
    <w:p w:rsidR="007C7727" w:rsidRDefault="000203A5">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5.本报告必须经估价机构加盖公章、注册房地产估价师签字后方可使用，估价机构仅对本报告的原件承担责任，对任何形式的复制件概不认可且不承担责任。</w:t>
      </w:r>
    </w:p>
    <w:p w:rsidR="007C7727" w:rsidRDefault="000203A5">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3" w:name="_Toc17990"/>
      <w:r>
        <w:rPr>
          <w:rFonts w:ascii="宋体" w:eastAsia="宋体" w:hAnsi="宋体" w:hint="eastAsia"/>
          <w:sz w:val="36"/>
          <w:szCs w:val="36"/>
        </w:rPr>
        <w:lastRenderedPageBreak/>
        <w:t>房地产估价结果报告</w:t>
      </w:r>
      <w:bookmarkEnd w:id="23"/>
    </w:p>
    <w:p w:rsidR="007C7727" w:rsidRDefault="000203A5" w:rsidP="008C092E">
      <w:pPr>
        <w:pStyle w:val="3"/>
        <w:spacing w:beforeLines="25" w:afterLines="25" w:line="480" w:lineRule="exact"/>
        <w:ind w:firstLineChars="200" w:firstLine="562"/>
        <w:rPr>
          <w:rFonts w:ascii="仿宋_GB2312" w:eastAsia="仿宋_GB2312" w:hAnsi="仿宋"/>
          <w:sz w:val="28"/>
          <w:szCs w:val="28"/>
        </w:rPr>
      </w:pPr>
      <w:bookmarkStart w:id="24" w:name="_Toc5061"/>
      <w:r>
        <w:rPr>
          <w:rFonts w:ascii="仿宋_GB2312" w:eastAsia="仿宋_GB2312" w:hAnsi="仿宋" w:hint="eastAsia"/>
          <w:sz w:val="28"/>
          <w:szCs w:val="28"/>
        </w:rPr>
        <w:t>一、估价委托方</w:t>
      </w:r>
      <w:bookmarkEnd w:id="24"/>
    </w:p>
    <w:p w:rsidR="007C7727" w:rsidRDefault="000203A5">
      <w:pPr>
        <w:spacing w:line="480" w:lineRule="exact"/>
        <w:ind w:firstLineChars="200" w:firstLine="560"/>
        <w:rPr>
          <w:rFonts w:ascii="仿宋_GB2312" w:eastAsia="仿宋_GB2312" w:hAnsi="仿宋"/>
          <w:sz w:val="28"/>
        </w:rPr>
      </w:pPr>
      <w:r>
        <w:rPr>
          <w:rFonts w:ascii="仿宋_GB2312" w:eastAsia="仿宋_GB2312" w:hAnsi="仿宋" w:hint="eastAsia"/>
          <w:sz w:val="28"/>
        </w:rPr>
        <w:t>委 托 人：桓台县人民法院技术室</w:t>
      </w:r>
    </w:p>
    <w:p w:rsidR="007C7727" w:rsidRDefault="000203A5">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联系地址：桓台县建设街3018号</w:t>
      </w:r>
    </w:p>
    <w:p w:rsidR="007C7727" w:rsidRDefault="000203A5" w:rsidP="008C092E">
      <w:pPr>
        <w:pStyle w:val="3"/>
        <w:spacing w:beforeLines="25" w:afterLines="25" w:line="480" w:lineRule="exact"/>
        <w:ind w:firstLineChars="200" w:firstLine="562"/>
        <w:rPr>
          <w:rFonts w:ascii="仿宋_GB2312" w:eastAsia="仿宋_GB2312" w:hAnsi="仿宋"/>
          <w:sz w:val="28"/>
          <w:szCs w:val="28"/>
        </w:rPr>
      </w:pPr>
      <w:bookmarkStart w:id="25" w:name="_Toc6657"/>
      <w:r>
        <w:rPr>
          <w:rFonts w:ascii="仿宋_GB2312" w:eastAsia="仿宋_GB2312" w:hAnsi="仿宋" w:hint="eastAsia"/>
          <w:sz w:val="28"/>
          <w:szCs w:val="28"/>
        </w:rPr>
        <w:t>二、估价机构</w:t>
      </w:r>
      <w:bookmarkEnd w:id="25"/>
    </w:p>
    <w:p w:rsidR="007C7727" w:rsidRDefault="000203A5">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单位名称：山东智乾土地房地产评估咨询有限公司</w:t>
      </w:r>
    </w:p>
    <w:p w:rsidR="007C7727" w:rsidRDefault="000203A5">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  蒙</w:t>
      </w:r>
    </w:p>
    <w:p w:rsidR="007C7727" w:rsidRDefault="000203A5">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资质等级：贰  级</w:t>
      </w:r>
    </w:p>
    <w:p w:rsidR="007C7727" w:rsidRDefault="000203A5">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营业执照注册号：91370303558949389G</w:t>
      </w:r>
    </w:p>
    <w:p w:rsidR="007C7727" w:rsidRDefault="000203A5">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证书编号：鲁评032033</w:t>
      </w:r>
    </w:p>
    <w:p w:rsidR="007C7727" w:rsidRDefault="000203A5">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机构地址：淄博市张店区淄博义乌小商品城30号楼1701室</w:t>
      </w:r>
    </w:p>
    <w:p w:rsidR="007C7727" w:rsidRDefault="000203A5">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联系电话：0533-6283668</w:t>
      </w:r>
    </w:p>
    <w:p w:rsidR="007C7727" w:rsidRDefault="000203A5" w:rsidP="008C092E">
      <w:pPr>
        <w:pStyle w:val="3"/>
        <w:spacing w:beforeLines="25" w:afterLines="25" w:line="480" w:lineRule="exact"/>
        <w:ind w:firstLineChars="200" w:firstLine="562"/>
        <w:rPr>
          <w:rFonts w:ascii="仿宋_GB2312" w:eastAsia="仿宋_GB2312" w:hAnsi="仿宋"/>
          <w:sz w:val="28"/>
          <w:szCs w:val="28"/>
        </w:rPr>
      </w:pPr>
      <w:bookmarkStart w:id="26" w:name="_Toc15637"/>
      <w:r>
        <w:rPr>
          <w:rFonts w:ascii="仿宋_GB2312" w:eastAsia="仿宋_GB2312" w:hAnsi="仿宋" w:hint="eastAsia"/>
          <w:sz w:val="28"/>
          <w:szCs w:val="28"/>
        </w:rPr>
        <w:t>三、估价目的</w:t>
      </w:r>
      <w:bookmarkEnd w:id="26"/>
    </w:p>
    <w:p w:rsidR="007C7727" w:rsidRDefault="000203A5">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7C7727" w:rsidRDefault="000203A5" w:rsidP="008C092E">
      <w:pPr>
        <w:pStyle w:val="3"/>
        <w:spacing w:beforeLines="25" w:afterLines="25" w:line="480" w:lineRule="exact"/>
        <w:ind w:firstLineChars="200" w:firstLine="562"/>
        <w:rPr>
          <w:rFonts w:ascii="仿宋_GB2312" w:eastAsia="仿宋_GB2312" w:hAnsi="仿宋"/>
          <w:sz w:val="28"/>
          <w:szCs w:val="28"/>
        </w:rPr>
      </w:pPr>
      <w:bookmarkStart w:id="27" w:name="_Toc27824"/>
      <w:r>
        <w:rPr>
          <w:rFonts w:ascii="仿宋_GB2312" w:eastAsia="仿宋_GB2312" w:hAnsi="仿宋" w:hint="eastAsia"/>
          <w:sz w:val="28"/>
          <w:szCs w:val="28"/>
        </w:rPr>
        <w:t>四、估价对象</w:t>
      </w:r>
      <w:bookmarkEnd w:id="27"/>
    </w:p>
    <w:p w:rsidR="007C7727" w:rsidRDefault="000203A5">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(一)估价对象范围</w:t>
      </w:r>
    </w:p>
    <w:p w:rsidR="007C7727" w:rsidRDefault="000203A5">
      <w:pPr>
        <w:spacing w:line="480" w:lineRule="exact"/>
        <w:ind w:firstLineChars="200" w:firstLine="560"/>
        <w:rPr>
          <w:rFonts w:ascii="仿宋_GB2312" w:eastAsia="仿宋_GB2312" w:hAnsi="仿宋"/>
          <w:sz w:val="28"/>
        </w:rPr>
      </w:pPr>
      <w:bookmarkStart w:id="28" w:name="_Toc498094830"/>
      <w:r>
        <w:rPr>
          <w:rFonts w:ascii="仿宋_GB2312" w:eastAsia="仿宋_GB2312" w:hAnsi="仿宋" w:hint="eastAsia"/>
          <w:sz w:val="28"/>
        </w:rPr>
        <w:t>根据委托方提供的有关资料，估价人员进行了实地查勘，确定本次估价对象范围为位于周村区紫馨蓝岸小区4号楼020501号住宅房地产，建筑面积为144.41㎡</w:t>
      </w:r>
      <w:r w:rsidR="005C7704">
        <w:rPr>
          <w:rFonts w:ascii="仿宋_GB2312" w:eastAsia="仿宋_GB2312" w:hAnsi="仿宋" w:hint="eastAsia"/>
          <w:sz w:val="28"/>
        </w:rPr>
        <w:t>（含阁楼）</w:t>
      </w:r>
      <w:r>
        <w:rPr>
          <w:rFonts w:ascii="仿宋_GB2312" w:eastAsia="仿宋_GB2312" w:hAnsi="宋体" w:hint="eastAsia"/>
          <w:sz w:val="28"/>
        </w:rPr>
        <w:t>，带地下储藏室及车位。</w:t>
      </w:r>
    </w:p>
    <w:p w:rsidR="007C7727" w:rsidRDefault="000203A5">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8"/>
    </w:p>
    <w:p w:rsidR="007C7727" w:rsidRDefault="000203A5">
      <w:pPr>
        <w:spacing w:line="480" w:lineRule="exact"/>
        <w:ind w:firstLineChars="200" w:firstLine="560"/>
        <w:rPr>
          <w:rFonts w:ascii="仿宋_GB2312" w:eastAsia="仿宋_GB2312" w:hAnsi="仿宋"/>
          <w:sz w:val="28"/>
        </w:rPr>
      </w:pPr>
      <w:r>
        <w:rPr>
          <w:rFonts w:ascii="仿宋_GB2312" w:eastAsia="仿宋_GB2312" w:hAnsi="仿宋" w:hint="eastAsia"/>
          <w:sz w:val="28"/>
        </w:rPr>
        <w:t>根据《</w:t>
      </w:r>
      <w:r>
        <w:rPr>
          <w:rFonts w:ascii="仿宋_GB2312" w:eastAsia="仿宋_GB2312" w:hAnsi="仿宋" w:hint="eastAsia"/>
          <w:spacing w:val="-4"/>
          <w:sz w:val="28"/>
          <w:szCs w:val="28"/>
        </w:rPr>
        <w:t>备案房产档案查档证明</w:t>
      </w:r>
      <w:r>
        <w:rPr>
          <w:rFonts w:ascii="仿宋_GB2312" w:eastAsia="仿宋_GB2312" w:hAnsi="仿宋" w:hint="eastAsia"/>
          <w:sz w:val="28"/>
        </w:rPr>
        <w:t>》，房屋所有权人：淄博宝龙房地产开发有限公司，预售证号：Y06-1002151号。土地使用权证没有提供。</w:t>
      </w:r>
    </w:p>
    <w:p w:rsidR="007C7727" w:rsidRDefault="000203A5">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7C7727" w:rsidRDefault="000203A5">
      <w:pPr>
        <w:adjustRightInd w:val="0"/>
        <w:snapToGrid w:val="0"/>
        <w:spacing w:line="440" w:lineRule="exact"/>
        <w:ind w:firstLineChars="200" w:firstLine="560"/>
        <w:rPr>
          <w:rFonts w:ascii="仿宋_GB2312" w:eastAsia="仿宋_GB2312" w:hAnsi="仿宋"/>
          <w:sz w:val="28"/>
        </w:rPr>
      </w:pPr>
      <w:r>
        <w:rPr>
          <w:rFonts w:ascii="仿宋_GB2312" w:eastAsia="仿宋_GB2312" w:hAnsi="仿宋" w:hint="eastAsia"/>
          <w:sz w:val="28"/>
        </w:rPr>
        <w:t>幢号：4号，房号：020501号，结构：混合，房屋总层数：7层，所在层数：5层（带阁楼），建筑面积：144.41平方米，建成年份：2018年。</w:t>
      </w:r>
    </w:p>
    <w:p w:rsidR="007C7727" w:rsidRDefault="000203A5">
      <w:pPr>
        <w:pStyle w:val="a7"/>
        <w:tabs>
          <w:tab w:val="left" w:pos="4820"/>
        </w:tabs>
        <w:adjustRightInd w:val="0"/>
        <w:snapToGrid w:val="0"/>
        <w:spacing w:line="480" w:lineRule="exact"/>
        <w:ind w:firstLineChars="200" w:firstLine="560"/>
        <w:rPr>
          <w:rFonts w:ascii="仿宋_GB2312" w:eastAsia="仿宋_GB2312"/>
          <w:spacing w:val="-6"/>
          <w:sz w:val="28"/>
        </w:rPr>
      </w:pPr>
      <w:r>
        <w:rPr>
          <w:rFonts w:ascii="仿宋_GB2312" w:eastAsia="仿宋_GB2312" w:hAnsi="仿宋" w:hint="eastAsia"/>
          <w:sz w:val="28"/>
        </w:rPr>
        <w:t>估价对象楼体外墙</w:t>
      </w:r>
      <w:r>
        <w:rPr>
          <w:rFonts w:ascii="仿宋_GB2312" w:eastAsia="仿宋_GB2312" w:hint="eastAsia"/>
          <w:sz w:val="28"/>
        </w:rPr>
        <w:t>水泥涂料，内墙水泥墙面，入户防盗门，室内无</w:t>
      </w:r>
      <w:r>
        <w:rPr>
          <w:rFonts w:ascii="仿宋_GB2312" w:eastAsia="仿宋_GB2312" w:hint="eastAsia"/>
          <w:sz w:val="28"/>
        </w:rPr>
        <w:lastRenderedPageBreak/>
        <w:t>内门，隔热断桥双层玻璃塑钢窗，水泥毛地面。水、电、暖气、燃气、网络</w:t>
      </w:r>
      <w:r w:rsidR="001021B0">
        <w:rPr>
          <w:rFonts w:ascii="仿宋_GB2312" w:eastAsia="仿宋_GB2312" w:hint="eastAsia"/>
          <w:sz w:val="28"/>
        </w:rPr>
        <w:t>、电梯</w:t>
      </w:r>
      <w:r>
        <w:rPr>
          <w:rFonts w:ascii="仿宋_GB2312" w:eastAsia="仿宋_GB2312" w:hint="eastAsia"/>
          <w:sz w:val="28"/>
        </w:rPr>
        <w:t>等配套齐全。</w:t>
      </w:r>
    </w:p>
    <w:p w:rsidR="007C7727" w:rsidRDefault="000203A5">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7C7727" w:rsidRDefault="000203A5">
      <w:pPr>
        <w:spacing w:line="480" w:lineRule="exact"/>
        <w:ind w:firstLineChars="200" w:firstLine="560"/>
        <w:rPr>
          <w:rFonts w:ascii="仿宋_GB2312" w:eastAsia="仿宋_GB2312" w:hAnsi="Arial Narrow"/>
          <w:sz w:val="28"/>
        </w:rPr>
      </w:pPr>
      <w:bookmarkStart w:id="29" w:name="_Toc9423"/>
      <w:r>
        <w:rPr>
          <w:rFonts w:ascii="仿宋_GB2312" w:eastAsia="仿宋_GB2312" w:hAnsi="Arial Narrow" w:hint="eastAsia"/>
          <w:sz w:val="28"/>
        </w:rPr>
        <w:t>估价对象小区东临明阳路，南临机场路，附近有兰馨书院小区，周边配套设备齐全，地理位置较优越，交通方便，属于较为理想的生活区。</w:t>
      </w:r>
    </w:p>
    <w:p w:rsidR="007C7727" w:rsidRDefault="000203A5">
      <w:pPr>
        <w:ind w:leftChars="1" w:left="2" w:firstLineChars="200" w:firstLine="562"/>
        <w:rPr>
          <w:rFonts w:ascii="仿宋_GB2312" w:eastAsia="仿宋_GB2312" w:hAnsi="仿宋"/>
          <w:sz w:val="28"/>
          <w:szCs w:val="28"/>
        </w:rPr>
      </w:pPr>
      <w:r>
        <w:rPr>
          <w:rFonts w:ascii="仿宋_GB2312" w:eastAsia="仿宋_GB2312" w:hAnsi="仿宋" w:hint="eastAsia"/>
          <w:b/>
          <w:bCs/>
          <w:sz w:val="28"/>
          <w:szCs w:val="28"/>
        </w:rPr>
        <w:t>五、价值时点</w:t>
      </w:r>
      <w:bookmarkEnd w:id="29"/>
    </w:p>
    <w:p w:rsidR="007C7727" w:rsidRDefault="000203A5">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hint="eastAsia"/>
          <w:sz w:val="28"/>
          <w:szCs w:val="28"/>
        </w:rPr>
        <w:t>2018年09月26日</w:t>
      </w:r>
      <w:r>
        <w:rPr>
          <w:rFonts w:ascii="仿宋_GB2312" w:eastAsia="仿宋_GB2312" w:hAnsi="宋体" w:hint="eastAsia"/>
          <w:sz w:val="28"/>
        </w:rPr>
        <w:t>(实地查勘日)。</w:t>
      </w:r>
    </w:p>
    <w:p w:rsidR="007C7727" w:rsidRDefault="000203A5" w:rsidP="008C092E">
      <w:pPr>
        <w:pStyle w:val="3"/>
        <w:spacing w:beforeLines="25" w:afterLines="25" w:line="480" w:lineRule="exact"/>
        <w:ind w:firstLineChars="200" w:firstLine="562"/>
        <w:rPr>
          <w:rFonts w:ascii="仿宋_GB2312" w:eastAsia="仿宋_GB2312" w:hAnsi="仿宋"/>
          <w:sz w:val="28"/>
          <w:szCs w:val="28"/>
        </w:rPr>
      </w:pPr>
      <w:bookmarkStart w:id="30" w:name="_Toc13140"/>
      <w:r>
        <w:rPr>
          <w:rFonts w:ascii="仿宋_GB2312" w:eastAsia="仿宋_GB2312" w:hAnsi="仿宋" w:hint="eastAsia"/>
          <w:sz w:val="28"/>
          <w:szCs w:val="28"/>
        </w:rPr>
        <w:t>六、价值类型</w:t>
      </w:r>
      <w:bookmarkEnd w:id="30"/>
    </w:p>
    <w:p w:rsidR="007C7727" w:rsidRDefault="000203A5">
      <w:pPr>
        <w:spacing w:line="480" w:lineRule="exact"/>
        <w:ind w:firstLineChars="200" w:firstLine="560"/>
        <w:rPr>
          <w:rFonts w:ascii="仿宋_GB2312" w:eastAsia="仿宋_GB2312" w:hAnsi="Arial Narrow"/>
          <w:sz w:val="28"/>
        </w:rPr>
      </w:pPr>
      <w:bookmarkStart w:id="31" w:name="_Toc467237615"/>
      <w:r>
        <w:rPr>
          <w:rFonts w:ascii="仿宋_GB2312" w:eastAsia="仿宋_GB2312" w:hAnsi="Arial Narrow" w:hint="eastAsia"/>
          <w:sz w:val="28"/>
        </w:rPr>
        <w:t>本次估价结果为市场价值，采用公开市场价值标准。</w:t>
      </w:r>
    </w:p>
    <w:p w:rsidR="007C7727" w:rsidRDefault="000203A5">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7C7727" w:rsidRDefault="000203A5">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7C7727" w:rsidRDefault="000203A5" w:rsidP="008C092E">
      <w:pPr>
        <w:pStyle w:val="3"/>
        <w:spacing w:beforeLines="25" w:afterLines="25" w:line="480" w:lineRule="exact"/>
        <w:ind w:firstLineChars="200" w:firstLine="562"/>
        <w:rPr>
          <w:rFonts w:ascii="仿宋_GB2312" w:eastAsia="仿宋_GB2312" w:hAnsi="仿宋"/>
          <w:sz w:val="28"/>
          <w:szCs w:val="28"/>
        </w:rPr>
      </w:pPr>
      <w:bookmarkStart w:id="32" w:name="_Toc12"/>
      <w:r>
        <w:rPr>
          <w:rFonts w:ascii="仿宋_GB2312" w:eastAsia="仿宋_GB2312" w:hAnsi="仿宋" w:hint="eastAsia"/>
          <w:sz w:val="28"/>
          <w:szCs w:val="28"/>
        </w:rPr>
        <w:t>七、估价原则</w:t>
      </w:r>
      <w:bookmarkEnd w:id="32"/>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1.独立、客观、公正原则：</w:t>
      </w:r>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2.合法原则：</w:t>
      </w:r>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3.价值时点原则：</w:t>
      </w:r>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遵循价值时点原则，要求估价结果是在根据估价目的确定的某一特定时间的价值或价格。</w:t>
      </w:r>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lastRenderedPageBreak/>
        <w:t>4.替代原则：</w:t>
      </w:r>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5.最高最佳利用原则：</w:t>
      </w:r>
    </w:p>
    <w:p w:rsidR="007C7727" w:rsidRDefault="000203A5">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遵循最高最佳利用原则，要求估价结果是在估价对象最高最佳使用利用状况下的价值或价格。</w:t>
      </w:r>
    </w:p>
    <w:p w:rsidR="007C7727" w:rsidRDefault="000203A5" w:rsidP="008C092E">
      <w:pPr>
        <w:pStyle w:val="3"/>
        <w:spacing w:beforeLines="25" w:afterLines="25" w:line="480" w:lineRule="exact"/>
        <w:ind w:firstLineChars="200" w:firstLine="562"/>
        <w:rPr>
          <w:rFonts w:ascii="仿宋_GB2312" w:eastAsia="仿宋_GB2312" w:hAnsi="仿宋"/>
          <w:sz w:val="28"/>
          <w:szCs w:val="28"/>
        </w:rPr>
      </w:pPr>
      <w:bookmarkStart w:id="33" w:name="_Toc6714"/>
      <w:r>
        <w:rPr>
          <w:rFonts w:ascii="仿宋_GB2312" w:eastAsia="仿宋_GB2312" w:hAnsi="仿宋" w:hint="eastAsia"/>
          <w:sz w:val="28"/>
          <w:szCs w:val="28"/>
        </w:rPr>
        <w:t>八、估价依据</w:t>
      </w:r>
      <w:bookmarkEnd w:id="31"/>
      <w:bookmarkEnd w:id="33"/>
    </w:p>
    <w:p w:rsidR="007C7727" w:rsidRDefault="000203A5">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(一)本此估价所依据的有关法律、法规和部门规章及各级地方政府或行政主管部门的有关规定： </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《中华人民共和国物权法》（2007年3月16日第十届全国人民代表大会第五次会议通过  国家主席令62号公布）</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2.《中华人民共和国城市房地产管理法》（2007年8月30日第十届全国人民代表大会常务委员会第二十九次会议通过  国家主席令72号公布）</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3.《中华人民共和国土地管理法》（2004年8月28日第十届全国人民代表大会常务委员会第十一次会议第二次修正  国家主席令 27号公布）</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4.《中华人民共和国担保法》（1995年6月30日第八届全国人民代表大会常务委员会第十四次会议通过）</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6.《最高人民法院关于适用《中华人民共和国担保法》若干问题的解释》（2000年9月29日最高人民法院审判委员会第1133次会议通过 法释[2000]44号）</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7.《中华人民共和国城镇国有土地使用权出让和转让暂行条例》</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8.</w:t>
      </w:r>
      <w:r>
        <w:rPr>
          <w:rFonts w:hAnsi="仿宋" w:cs="宋体-18030" w:hint="eastAsia"/>
          <w:szCs w:val="28"/>
        </w:rPr>
        <w:t>《中华人民共和国资产评估法》（2016年7月2日 中华人民共</w:t>
      </w:r>
      <w:r>
        <w:rPr>
          <w:rFonts w:hAnsi="仿宋" w:cs="宋体-18030" w:hint="eastAsia"/>
          <w:szCs w:val="28"/>
        </w:rPr>
        <w:lastRenderedPageBreak/>
        <w:t>和国主席令第四十六号）</w:t>
      </w:r>
    </w:p>
    <w:p w:rsidR="007C7727" w:rsidRDefault="000203A5">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(二)本此估价采用的估价标准、技术规程： </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1. 中华人民共和国国家标准《房地产估价规范》（2015年12月1日  GB/T50291-2015）</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2.《房地产估价基本术语标准》（GB/T 50899-2013）</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3.《山东省建筑工程价目表》</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4.《山东省建筑工程消耗量定额》 </w:t>
      </w:r>
    </w:p>
    <w:p w:rsidR="007C7727" w:rsidRDefault="000203A5">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5. 淄博市人民政府关于《城市基础设施配套费征收使用管理的有关规定》（淄政发[2006]44号）</w:t>
      </w:r>
    </w:p>
    <w:p w:rsidR="007C7727" w:rsidRDefault="000203A5">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(三)委托人提供的有关资料： </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1.《鉴定委托书》</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spacing w:val="-4"/>
          <w:szCs w:val="28"/>
        </w:rPr>
        <w:t>备案房产档案查档证明</w:t>
      </w:r>
      <w:r>
        <w:rPr>
          <w:rFonts w:hAnsi="仿宋" w:hint="eastAsia"/>
        </w:rPr>
        <w:t>》</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3.《执行裁定书》</w:t>
      </w:r>
    </w:p>
    <w:p w:rsidR="007C7727" w:rsidRDefault="000203A5">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(四)评估人员调查收集的资料</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1.估价机构掌握的市场资料</w:t>
      </w:r>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2.估价人员实地勘察资料</w:t>
      </w:r>
    </w:p>
    <w:p w:rsidR="007C7727" w:rsidRDefault="000203A5">
      <w:pPr>
        <w:pStyle w:val="7"/>
        <w:adjustRightInd w:val="0"/>
        <w:snapToGrid w:val="0"/>
        <w:spacing w:line="480" w:lineRule="exact"/>
        <w:ind w:leftChars="50" w:left="105" w:rightChars="50" w:right="105" w:firstLineChars="200" w:firstLine="560"/>
        <w:rPr>
          <w:rFonts w:hAnsi="仿宋"/>
          <w:b/>
        </w:rPr>
      </w:pPr>
      <w:r>
        <w:rPr>
          <w:rFonts w:hAnsi="仿宋" w:hint="eastAsia"/>
        </w:rPr>
        <w:t>3.估价人员社会调查获取的资料</w:t>
      </w:r>
    </w:p>
    <w:p w:rsidR="007C7727" w:rsidRDefault="000203A5" w:rsidP="008C092E">
      <w:pPr>
        <w:pStyle w:val="3"/>
        <w:spacing w:beforeLines="25" w:afterLines="25" w:line="480" w:lineRule="exact"/>
        <w:ind w:firstLineChars="200" w:firstLine="562"/>
        <w:rPr>
          <w:rFonts w:ascii="仿宋_GB2312" w:eastAsia="仿宋_GB2312" w:hAnsi="仿宋"/>
          <w:sz w:val="28"/>
          <w:szCs w:val="28"/>
        </w:rPr>
      </w:pPr>
      <w:bookmarkStart w:id="34" w:name="_Toc20253"/>
      <w:r>
        <w:rPr>
          <w:rFonts w:ascii="仿宋_GB2312" w:eastAsia="仿宋_GB2312" w:hAnsi="仿宋" w:hint="eastAsia"/>
          <w:sz w:val="28"/>
          <w:szCs w:val="28"/>
        </w:rPr>
        <w:t>九、估价方法</w:t>
      </w:r>
      <w:bookmarkEnd w:id="34"/>
    </w:p>
    <w:p w:rsidR="007C7727" w:rsidRDefault="000203A5">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（一）估价方法的含义</w:t>
      </w:r>
    </w:p>
    <w:p w:rsidR="007C7727" w:rsidRDefault="000203A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7C7727" w:rsidRDefault="000203A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7C7727" w:rsidRDefault="000203A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7C7727" w:rsidRDefault="000203A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假设开发法，是求得估价对象后续开发的必要支出及折现率或后续开发的必要支出及应得利润和开发完成后的价值，将开发完成后的价值</w:t>
      </w:r>
      <w:r>
        <w:rPr>
          <w:rFonts w:ascii="仿宋_GB2312" w:eastAsia="仿宋_GB2312" w:hAnsi="宋体" w:hint="eastAsia"/>
          <w:sz w:val="28"/>
        </w:rPr>
        <w:lastRenderedPageBreak/>
        <w:t>和后续开发的必要支出折现到价值时点后相减，或将开发完成后的价值减去后续开发的必要支出及应得利润得到估价对象价值或价格的方法。</w:t>
      </w:r>
    </w:p>
    <w:p w:rsidR="007C7727" w:rsidRDefault="000203A5">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7C7727" w:rsidRDefault="000203A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7C7727" w:rsidRDefault="000203A5">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rsidR="007C7727" w:rsidRDefault="000203A5">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7C7727" w:rsidRDefault="000203A5">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7C7727" w:rsidRDefault="000203A5">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7C7727" w:rsidRDefault="000203A5">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p>
    <w:p w:rsidR="007C7727" w:rsidRDefault="000203A5" w:rsidP="008C092E">
      <w:pPr>
        <w:pStyle w:val="3"/>
        <w:spacing w:beforeLines="25" w:afterLines="25" w:line="480" w:lineRule="exact"/>
        <w:ind w:firstLineChars="200" w:firstLine="562"/>
        <w:rPr>
          <w:rFonts w:ascii="仿宋_GB2312" w:eastAsia="仿宋_GB2312" w:hAnsi="仿宋"/>
          <w:sz w:val="28"/>
          <w:szCs w:val="28"/>
        </w:rPr>
      </w:pPr>
      <w:bookmarkStart w:id="35" w:name="_Toc22751"/>
      <w:r>
        <w:rPr>
          <w:rFonts w:ascii="仿宋_GB2312" w:eastAsia="仿宋_GB2312" w:hAnsi="仿宋" w:hint="eastAsia"/>
          <w:sz w:val="28"/>
          <w:szCs w:val="28"/>
        </w:rPr>
        <w:t>十、估价结果</w:t>
      </w:r>
      <w:bookmarkEnd w:id="35"/>
    </w:p>
    <w:p w:rsidR="007C7727" w:rsidRDefault="000203A5">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测算，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7C7727" w:rsidRDefault="000203A5" w:rsidP="008C092E">
      <w:pPr>
        <w:spacing w:beforeLines="50" w:line="480" w:lineRule="exact"/>
        <w:rPr>
          <w:rFonts w:ascii="仿宋" w:eastAsia="仿宋" w:hAnsi="仿宋"/>
          <w:sz w:val="28"/>
          <w:szCs w:val="28"/>
        </w:rPr>
      </w:pPr>
      <w:r>
        <w:rPr>
          <w:rFonts w:ascii="仿宋" w:eastAsia="仿宋" w:hAnsi="仿宋" w:hint="eastAsia"/>
          <w:sz w:val="28"/>
          <w:szCs w:val="28"/>
        </w:rPr>
        <w:lastRenderedPageBreak/>
        <w:t xml:space="preserve">    评估房地产建筑面积：</w:t>
      </w:r>
      <w:r>
        <w:rPr>
          <w:rFonts w:ascii="仿宋_GB2312" w:eastAsia="仿宋_GB2312" w:hAnsi="仿宋" w:hint="eastAsia"/>
          <w:b/>
          <w:bCs/>
          <w:sz w:val="28"/>
          <w:szCs w:val="28"/>
        </w:rPr>
        <w:t>144.41</w:t>
      </w:r>
      <w:r>
        <w:rPr>
          <w:rFonts w:ascii="仿宋_GB2312" w:eastAsia="仿宋_GB2312" w:hAnsi="仿宋" w:hint="eastAsia"/>
          <w:bCs/>
          <w:sz w:val="28"/>
          <w:szCs w:val="28"/>
        </w:rPr>
        <w:t>平方米</w:t>
      </w:r>
      <w:r w:rsidR="001558FE">
        <w:rPr>
          <w:rFonts w:ascii="仿宋_GB2312" w:eastAsia="仿宋_GB2312" w:hAnsi="仿宋" w:hint="eastAsia"/>
          <w:bCs/>
          <w:sz w:val="28"/>
          <w:szCs w:val="28"/>
        </w:rPr>
        <w:t>；</w:t>
      </w:r>
    </w:p>
    <w:p w:rsidR="007C7727" w:rsidRDefault="000203A5">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Pr>
          <w:rFonts w:ascii="仿宋_GB2312" w:eastAsia="仿宋_GB2312" w:hAnsi="仿宋" w:hint="eastAsia"/>
          <w:b/>
          <w:bCs/>
          <w:sz w:val="28"/>
          <w:szCs w:val="28"/>
        </w:rPr>
        <w:t>7392</w:t>
      </w:r>
      <w:r>
        <w:rPr>
          <w:rFonts w:ascii="仿宋" w:eastAsia="仿宋" w:hAnsi="仿宋"/>
          <w:sz w:val="28"/>
          <w:szCs w:val="28"/>
        </w:rPr>
        <w:t>元</w:t>
      </w:r>
      <w:r>
        <w:rPr>
          <w:rFonts w:ascii="仿宋" w:eastAsia="仿宋" w:hAnsi="仿宋" w:hint="eastAsia"/>
          <w:sz w:val="28"/>
          <w:szCs w:val="28"/>
        </w:rPr>
        <w:t>/平方米；</w:t>
      </w:r>
    </w:p>
    <w:p w:rsidR="007C7727" w:rsidRDefault="000203A5">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Pr>
          <w:rFonts w:ascii="仿宋_GB2312" w:eastAsia="仿宋_GB2312" w:hAnsi="仿宋" w:hint="eastAsia"/>
          <w:b/>
          <w:bCs/>
          <w:sz w:val="28"/>
          <w:szCs w:val="28"/>
        </w:rPr>
        <w:t>106.75</w:t>
      </w:r>
      <w:r>
        <w:rPr>
          <w:rFonts w:ascii="仿宋_GB2312" w:eastAsia="仿宋_GB2312" w:hAnsi="仿宋" w:hint="eastAsia"/>
          <w:sz w:val="28"/>
          <w:szCs w:val="28"/>
        </w:rPr>
        <w:t>万元</w:t>
      </w:r>
      <w:r w:rsidR="008C092E">
        <w:rPr>
          <w:rFonts w:ascii="仿宋_GB2312" w:eastAsia="仿宋_GB2312" w:hAnsi="Arial Narrow" w:hint="eastAsia"/>
          <w:sz w:val="28"/>
        </w:rPr>
        <w:t>(包含地下储藏室及车位)</w:t>
      </w:r>
      <w:r>
        <w:rPr>
          <w:rFonts w:ascii="仿宋_GB2312" w:eastAsia="仿宋_GB2312" w:hAnsi="仿宋" w:hint="eastAsia"/>
          <w:sz w:val="28"/>
          <w:szCs w:val="28"/>
        </w:rPr>
        <w:t>；</w:t>
      </w:r>
    </w:p>
    <w:p w:rsidR="007C7727" w:rsidRDefault="000203A5">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AD59FE">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AD59FE">
        <w:rPr>
          <w:rFonts w:ascii="仿宋" w:eastAsia="仿宋" w:hAnsi="仿宋" w:hint="eastAsia"/>
          <w:b/>
          <w:bCs/>
          <w:sz w:val="28"/>
          <w:szCs w:val="28"/>
        </w:rPr>
        <w:fldChar w:fldCharType="separate"/>
      </w:r>
      <w:r w:rsidR="00AD59FE">
        <w:rPr>
          <w:rFonts w:ascii="仿宋" w:eastAsia="仿宋" w:hAnsi="仿宋" w:hint="eastAsia"/>
          <w:b/>
          <w:bCs/>
          <w:sz w:val="28"/>
          <w:szCs w:val="28"/>
        </w:rPr>
        <w:fldChar w:fldCharType="begin"/>
      </w:r>
      <w:r>
        <w:rPr>
          <w:rFonts w:ascii="仿宋" w:eastAsia="仿宋" w:hAnsi="仿宋" w:hint="eastAsia"/>
          <w:b/>
          <w:bCs/>
          <w:sz w:val="28"/>
          <w:szCs w:val="28"/>
        </w:rPr>
        <w:instrText xml:space="preserve"> = 1067500 \* CHINESENUM2 \* MERGEFORMAT </w:instrText>
      </w:r>
      <w:r w:rsidR="00AD59FE">
        <w:rPr>
          <w:rFonts w:ascii="仿宋" w:eastAsia="仿宋" w:hAnsi="仿宋" w:hint="eastAsia"/>
          <w:b/>
          <w:bCs/>
          <w:sz w:val="28"/>
          <w:szCs w:val="28"/>
        </w:rPr>
        <w:fldChar w:fldCharType="separate"/>
      </w:r>
      <w:r>
        <w:rPr>
          <w:rFonts w:ascii="仿宋" w:eastAsia="仿宋" w:hAnsi="仿宋"/>
          <w:b/>
          <w:bCs/>
          <w:sz w:val="28"/>
          <w:szCs w:val="28"/>
        </w:rPr>
        <w:t>壹佰零陆万柒仟伍佰</w:t>
      </w:r>
      <w:r w:rsidR="00AD59FE">
        <w:rPr>
          <w:rFonts w:ascii="仿宋" w:eastAsia="仿宋" w:hAnsi="仿宋" w:hint="eastAsia"/>
          <w:b/>
          <w:bCs/>
          <w:sz w:val="28"/>
          <w:szCs w:val="28"/>
        </w:rPr>
        <w:fldChar w:fldCharType="end"/>
      </w:r>
      <w:r>
        <w:rPr>
          <w:rFonts w:ascii="仿宋" w:eastAsia="仿宋" w:hAnsi="仿宋"/>
          <w:b/>
          <w:bCs/>
          <w:sz w:val="28"/>
          <w:szCs w:val="28"/>
        </w:rPr>
        <w:t>元整</w:t>
      </w:r>
      <w:r w:rsidR="00AD59FE">
        <w:rPr>
          <w:rFonts w:ascii="仿宋" w:eastAsia="仿宋" w:hAnsi="仿宋" w:hint="eastAsia"/>
          <w:b/>
          <w:bCs/>
          <w:sz w:val="28"/>
          <w:szCs w:val="28"/>
        </w:rPr>
        <w:fldChar w:fldCharType="end"/>
      </w:r>
      <w:r>
        <w:rPr>
          <w:rFonts w:ascii="仿宋" w:eastAsia="仿宋" w:hAnsi="仿宋"/>
          <w:sz w:val="28"/>
          <w:szCs w:val="28"/>
        </w:rPr>
        <w:t>。</w:t>
      </w:r>
    </w:p>
    <w:p w:rsidR="007C7727" w:rsidRDefault="000203A5" w:rsidP="008C092E">
      <w:pPr>
        <w:pStyle w:val="3"/>
        <w:spacing w:beforeLines="25" w:afterLines="25" w:line="440" w:lineRule="exact"/>
        <w:ind w:firstLineChars="200" w:firstLine="562"/>
        <w:rPr>
          <w:rFonts w:ascii="仿宋_GB2312" w:eastAsia="仿宋_GB2312" w:hAnsi="仿宋"/>
          <w:sz w:val="28"/>
          <w:szCs w:val="28"/>
        </w:rPr>
      </w:pPr>
      <w:bookmarkStart w:id="36" w:name="_Toc27212"/>
      <w:r>
        <w:rPr>
          <w:rFonts w:ascii="仿宋_GB2312" w:eastAsia="仿宋_GB2312" w:hAnsi="仿宋" w:hint="eastAsia"/>
          <w:sz w:val="28"/>
          <w:szCs w:val="28"/>
        </w:rPr>
        <w:t>十一、</w:t>
      </w:r>
      <w:bookmarkStart w:id="37" w:name="_Toc29210"/>
      <w:bookmarkEnd w:id="36"/>
      <w:r>
        <w:rPr>
          <w:rFonts w:ascii="仿宋_GB2312" w:eastAsia="仿宋_GB2312" w:hAnsi="仿宋" w:hint="eastAsia"/>
          <w:sz w:val="28"/>
          <w:szCs w:val="28"/>
        </w:rPr>
        <w:t>注册房地产估价师</w:t>
      </w:r>
    </w:p>
    <w:tbl>
      <w:tblPr>
        <w:tblStyle w:val="af1"/>
        <w:tblW w:w="8946" w:type="dxa"/>
        <w:jc w:val="center"/>
        <w:tblLayout w:type="fixed"/>
        <w:tblLook w:val="04A0"/>
      </w:tblPr>
      <w:tblGrid>
        <w:gridCol w:w="1295"/>
        <w:gridCol w:w="1588"/>
        <w:gridCol w:w="1903"/>
        <w:gridCol w:w="4160"/>
      </w:tblGrid>
      <w:tr w:rsidR="007C7727">
        <w:trPr>
          <w:trHeight w:val="594"/>
          <w:jc w:val="center"/>
        </w:trPr>
        <w:tc>
          <w:tcPr>
            <w:tcW w:w="1295"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588"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03"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7C7727">
        <w:trPr>
          <w:trHeight w:val="1638"/>
          <w:jc w:val="center"/>
        </w:trPr>
        <w:tc>
          <w:tcPr>
            <w:tcW w:w="1295"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588"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03" w:type="dxa"/>
            <w:vAlign w:val="center"/>
          </w:tcPr>
          <w:p w:rsidR="007C7727" w:rsidRDefault="007C7727">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7C7727" w:rsidRDefault="007C7727">
            <w:pPr>
              <w:adjustRightInd w:val="0"/>
              <w:snapToGrid w:val="0"/>
              <w:spacing w:line="440" w:lineRule="exact"/>
              <w:jc w:val="center"/>
              <w:textAlignment w:val="baseline"/>
              <w:rPr>
                <w:rFonts w:ascii="Arial Narrow" w:eastAsia="仿宋_GB2312" w:hAnsi="Arial Narrow"/>
                <w:kern w:val="0"/>
                <w:sz w:val="28"/>
                <w:szCs w:val="28"/>
              </w:rPr>
            </w:pPr>
          </w:p>
        </w:tc>
      </w:tr>
      <w:tr w:rsidR="007C7727">
        <w:trPr>
          <w:trHeight w:val="1798"/>
          <w:jc w:val="center"/>
        </w:trPr>
        <w:tc>
          <w:tcPr>
            <w:tcW w:w="1295"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588" w:type="dxa"/>
            <w:vAlign w:val="center"/>
          </w:tcPr>
          <w:p w:rsidR="007C7727" w:rsidRDefault="000203A5">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03" w:type="dxa"/>
            <w:vAlign w:val="center"/>
          </w:tcPr>
          <w:p w:rsidR="007C7727" w:rsidRDefault="007C7727">
            <w:pPr>
              <w:rPr>
                <w:rFonts w:ascii="Arial Narrow" w:eastAsia="仿宋_GB2312" w:hAnsi="Arial Narrow"/>
                <w:sz w:val="28"/>
                <w:szCs w:val="28"/>
              </w:rPr>
            </w:pPr>
          </w:p>
        </w:tc>
        <w:tc>
          <w:tcPr>
            <w:tcW w:w="4160" w:type="dxa"/>
            <w:vAlign w:val="center"/>
          </w:tcPr>
          <w:p w:rsidR="007C7727" w:rsidRDefault="007C7727">
            <w:pPr>
              <w:adjustRightInd w:val="0"/>
              <w:snapToGrid w:val="0"/>
              <w:spacing w:line="440" w:lineRule="exact"/>
              <w:jc w:val="center"/>
              <w:textAlignment w:val="baseline"/>
              <w:rPr>
                <w:rFonts w:ascii="Arial Narrow" w:eastAsia="仿宋_GB2312" w:hAnsi="Arial Narrow"/>
                <w:kern w:val="0"/>
                <w:sz w:val="28"/>
                <w:szCs w:val="28"/>
              </w:rPr>
            </w:pPr>
          </w:p>
        </w:tc>
      </w:tr>
    </w:tbl>
    <w:p w:rsidR="007C7727" w:rsidRDefault="000203A5">
      <w:pPr>
        <w:pStyle w:val="3"/>
        <w:spacing w:before="0" w:after="0"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十二、实地查勘期</w:t>
      </w:r>
      <w:bookmarkEnd w:id="37"/>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2018年09月26日</w:t>
      </w:r>
      <w:r>
        <w:rPr>
          <w:rFonts w:hAnsi="仿宋" w:hint="eastAsia"/>
        </w:rPr>
        <w:t>。</w:t>
      </w:r>
    </w:p>
    <w:p w:rsidR="007C7727" w:rsidRDefault="000203A5">
      <w:pPr>
        <w:pStyle w:val="3"/>
        <w:spacing w:before="0" w:after="0" w:line="480" w:lineRule="exact"/>
        <w:ind w:firstLineChars="200" w:firstLine="562"/>
        <w:rPr>
          <w:rFonts w:ascii="仿宋_GB2312" w:eastAsia="仿宋_GB2312" w:hAnsi="仿宋"/>
          <w:sz w:val="28"/>
          <w:szCs w:val="28"/>
        </w:rPr>
      </w:pPr>
      <w:bookmarkStart w:id="38" w:name="_Toc3558"/>
      <w:r>
        <w:rPr>
          <w:rFonts w:ascii="仿宋_GB2312" w:eastAsia="仿宋_GB2312" w:hAnsi="仿宋" w:hint="eastAsia"/>
          <w:sz w:val="28"/>
          <w:szCs w:val="28"/>
        </w:rPr>
        <w:t>十三、估价作业期</w:t>
      </w:r>
      <w:bookmarkEnd w:id="38"/>
    </w:p>
    <w:p w:rsidR="007C7727" w:rsidRDefault="000203A5">
      <w:pPr>
        <w:pStyle w:val="7"/>
        <w:adjustRightInd w:val="0"/>
        <w:snapToGrid w:val="0"/>
        <w:spacing w:line="480" w:lineRule="exact"/>
        <w:ind w:leftChars="50" w:left="105" w:rightChars="50" w:right="105" w:firstLineChars="200" w:firstLine="560"/>
        <w:rPr>
          <w:rFonts w:hAnsi="仿宋"/>
        </w:rPr>
      </w:pPr>
      <w:r>
        <w:rPr>
          <w:rFonts w:hAnsi="仿宋" w:hint="eastAsia"/>
        </w:rPr>
        <w:t>本次估价评估报告的作业日期为</w:t>
      </w:r>
      <w:r>
        <w:rPr>
          <w:rFonts w:hAnsi="仿宋" w:hint="eastAsia"/>
          <w:szCs w:val="28"/>
        </w:rPr>
        <w:t>2018年09月26日至</w:t>
      </w:r>
      <w:r w:rsidR="008C092E">
        <w:rPr>
          <w:rFonts w:hAnsi="仿宋" w:hint="eastAsia"/>
          <w:szCs w:val="28"/>
        </w:rPr>
        <w:t>2018年9月28日</w:t>
      </w:r>
      <w:r>
        <w:rPr>
          <w:rFonts w:hAnsi="仿宋" w:hint="eastAsia"/>
        </w:rPr>
        <w:t>。</w:t>
      </w:r>
      <w:bookmarkStart w:id="39" w:name="_Toc10893"/>
      <w:bookmarkStart w:id="40" w:name="_Toc475629541"/>
    </w:p>
    <w:p w:rsidR="007C7727" w:rsidRDefault="007C7727">
      <w:pPr>
        <w:pStyle w:val="7"/>
        <w:adjustRightInd w:val="0"/>
        <w:snapToGrid w:val="0"/>
        <w:spacing w:line="480" w:lineRule="exact"/>
        <w:ind w:leftChars="50" w:left="105" w:rightChars="50" w:right="105" w:firstLineChars="700" w:firstLine="2530"/>
        <w:rPr>
          <w:rFonts w:ascii="宋体" w:eastAsia="宋体" w:hAnsi="宋体"/>
          <w:b/>
          <w:bCs/>
          <w:sz w:val="36"/>
          <w:szCs w:val="36"/>
        </w:rPr>
      </w:pPr>
    </w:p>
    <w:p w:rsidR="007C7727" w:rsidRDefault="000203A5">
      <w:pPr>
        <w:pStyle w:val="7"/>
        <w:adjustRightInd w:val="0"/>
        <w:snapToGrid w:val="0"/>
        <w:spacing w:line="480" w:lineRule="exact"/>
        <w:ind w:leftChars="50" w:left="105" w:rightChars="50" w:right="105" w:firstLineChars="700" w:firstLine="2530"/>
        <w:rPr>
          <w:rFonts w:ascii="宋体" w:eastAsia="宋体" w:hAnsi="宋体"/>
          <w:b/>
          <w:bCs/>
          <w:sz w:val="36"/>
          <w:szCs w:val="36"/>
        </w:rPr>
      </w:pPr>
      <w:r>
        <w:rPr>
          <w:rFonts w:ascii="宋体" w:eastAsia="宋体" w:hAnsi="宋体"/>
          <w:b/>
          <w:bCs/>
          <w:sz w:val="36"/>
          <w:szCs w:val="36"/>
        </w:rPr>
        <w:t>附    件</w:t>
      </w:r>
      <w:bookmarkEnd w:id="39"/>
      <w:bookmarkEnd w:id="40"/>
    </w:p>
    <w:p w:rsidR="007C7727" w:rsidRDefault="000203A5">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 估价对象现场查勘照片</w:t>
      </w:r>
    </w:p>
    <w:p w:rsidR="007C7727" w:rsidRDefault="000203A5">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 鉴定委托书、执行裁定书复印件</w:t>
      </w:r>
    </w:p>
    <w:p w:rsidR="007C7727" w:rsidRDefault="000203A5">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 xml:space="preserve">附件三、 </w:t>
      </w:r>
      <w:r>
        <w:rPr>
          <w:rFonts w:ascii="仿宋_GB2312" w:eastAsia="仿宋_GB2312" w:hAnsi="仿宋" w:hint="eastAsia"/>
          <w:spacing w:val="-4"/>
          <w:sz w:val="28"/>
          <w:szCs w:val="28"/>
        </w:rPr>
        <w:t>备案房产档案查档证明</w:t>
      </w:r>
      <w:r>
        <w:rPr>
          <w:rFonts w:ascii="仿宋_GB2312" w:eastAsia="仿宋_GB2312" w:hint="eastAsia"/>
          <w:bCs/>
          <w:snapToGrid w:val="0"/>
          <w:sz w:val="28"/>
          <w:szCs w:val="28"/>
        </w:rPr>
        <w:t>复印件</w:t>
      </w:r>
    </w:p>
    <w:p w:rsidR="007C7727" w:rsidRDefault="000203A5">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 xml:space="preserve">附件四、 </w:t>
      </w:r>
      <w:r>
        <w:rPr>
          <w:rFonts w:ascii="仿宋_GB2312" w:eastAsia="仿宋_GB2312" w:hAnsi="宋体" w:hint="eastAsia"/>
          <w:sz w:val="28"/>
        </w:rPr>
        <w:t>房地产评估现场勘估记录复印件</w:t>
      </w:r>
    </w:p>
    <w:p w:rsidR="007C7727" w:rsidRDefault="000203A5">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附件五、 房地产估价机构资格证书复印件</w:t>
      </w:r>
    </w:p>
    <w:p w:rsidR="007C7727" w:rsidRDefault="000203A5">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 房地产估价师注册证书复印件</w:t>
      </w:r>
    </w:p>
    <w:sectPr w:rsidR="007C7727" w:rsidSect="007C7727">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B64" w:rsidRDefault="005F4B64" w:rsidP="007C7727">
      <w:r>
        <w:separator/>
      </w:r>
    </w:p>
  </w:endnote>
  <w:endnote w:type="continuationSeparator" w:id="1">
    <w:p w:rsidR="005F4B64" w:rsidRDefault="005F4B64" w:rsidP="007C7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27" w:rsidRDefault="00AD59FE">
    <w:pPr>
      <w:pStyle w:val="aa"/>
      <w:framePr w:wrap="around" w:vAnchor="text" w:hAnchor="margin" w:xAlign="right" w:y="1"/>
      <w:rPr>
        <w:rStyle w:val="ad"/>
      </w:rPr>
    </w:pPr>
    <w:r>
      <w:fldChar w:fldCharType="begin"/>
    </w:r>
    <w:r w:rsidR="000203A5">
      <w:rPr>
        <w:rStyle w:val="ad"/>
      </w:rPr>
      <w:instrText xml:space="preserve">PAGE  </w:instrText>
    </w:r>
    <w:r>
      <w:fldChar w:fldCharType="end"/>
    </w:r>
  </w:p>
  <w:p w:rsidR="007C7727" w:rsidRDefault="007C772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27" w:rsidRDefault="000203A5">
    <w:pPr>
      <w:pStyle w:val="aa"/>
      <w:pBdr>
        <w:top w:val="double" w:sz="4" w:space="1" w:color="auto"/>
      </w:pBdr>
    </w:pPr>
    <w:r>
      <w:rPr>
        <w:rFonts w:ascii="仿宋_GB2312" w:eastAsia="仿宋_GB2312" w:hAnsi="仿宋_GB2312" w:cs="仿宋_GB2312" w:hint="eastAsia"/>
        <w:sz w:val="21"/>
        <w:szCs w:val="21"/>
      </w:rPr>
      <w:t>地址：张店区淄博义乌小商品城30号楼1701室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27" w:rsidRDefault="000203A5">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地址：张店区淄博义乌小商品城30号楼1701室                                 第 </w:t>
    </w:r>
    <w:r w:rsidR="00AD59FE">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AD59FE">
      <w:rPr>
        <w:rFonts w:ascii="仿宋_GB2312" w:eastAsia="仿宋_GB2312" w:hAnsi="仿宋_GB2312" w:cs="仿宋_GB2312" w:hint="eastAsia"/>
        <w:sz w:val="21"/>
        <w:szCs w:val="21"/>
      </w:rPr>
      <w:fldChar w:fldCharType="separate"/>
    </w:r>
    <w:r w:rsidR="00E92A82">
      <w:rPr>
        <w:rFonts w:ascii="仿宋_GB2312" w:eastAsia="仿宋_GB2312" w:hAnsi="仿宋_GB2312" w:cs="仿宋_GB2312"/>
        <w:noProof/>
        <w:sz w:val="21"/>
        <w:szCs w:val="21"/>
      </w:rPr>
      <w:t>1</w:t>
    </w:r>
    <w:r w:rsidR="00AD59FE">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B64" w:rsidRDefault="005F4B64" w:rsidP="007C7727">
      <w:r>
        <w:separator/>
      </w:r>
    </w:p>
  </w:footnote>
  <w:footnote w:type="continuationSeparator" w:id="1">
    <w:p w:rsidR="005F4B64" w:rsidRDefault="005F4B64" w:rsidP="007C7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27" w:rsidRDefault="000203A5">
    <w:pPr>
      <w:pStyle w:val="ab"/>
      <w:ind w:right="105"/>
    </w:pPr>
    <w:r>
      <w:rPr>
        <w:rFonts w:ascii="仿宋_GB2312" w:eastAsia="仿宋_GB2312" w:hint="eastAsia"/>
        <w:sz w:val="21"/>
        <w:szCs w:val="21"/>
      </w:rPr>
      <w:t>山东智乾土地房地产评估咨询有限公司                           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27" w:rsidRDefault="007C7727">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27" w:rsidRDefault="000203A5">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                            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03A5"/>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0DF9"/>
    <w:rsid w:val="000E1A1E"/>
    <w:rsid w:val="000E3AC9"/>
    <w:rsid w:val="000E3C0F"/>
    <w:rsid w:val="000E75BF"/>
    <w:rsid w:val="000F30A1"/>
    <w:rsid w:val="000F5E01"/>
    <w:rsid w:val="000F7A80"/>
    <w:rsid w:val="001017BE"/>
    <w:rsid w:val="001021B0"/>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8FE"/>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66A41"/>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A4D78"/>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082A"/>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1E9D"/>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C7704"/>
    <w:rsid w:val="005D1042"/>
    <w:rsid w:val="005E05E4"/>
    <w:rsid w:val="005E1596"/>
    <w:rsid w:val="005E4E1B"/>
    <w:rsid w:val="005F0BB0"/>
    <w:rsid w:val="005F1478"/>
    <w:rsid w:val="005F4B64"/>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727"/>
    <w:rsid w:val="007C7D8C"/>
    <w:rsid w:val="007D2D9C"/>
    <w:rsid w:val="007D6B89"/>
    <w:rsid w:val="007E4FCD"/>
    <w:rsid w:val="007E614D"/>
    <w:rsid w:val="007F492F"/>
    <w:rsid w:val="008002BB"/>
    <w:rsid w:val="00800A56"/>
    <w:rsid w:val="00801C9F"/>
    <w:rsid w:val="0080512D"/>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092E"/>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D59FE"/>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093D"/>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6926"/>
    <w:rsid w:val="00C67206"/>
    <w:rsid w:val="00C81EEB"/>
    <w:rsid w:val="00C84549"/>
    <w:rsid w:val="00C85630"/>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6736"/>
    <w:rsid w:val="00E929C2"/>
    <w:rsid w:val="00E92A8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27BE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6E41734"/>
    <w:rsid w:val="09D53033"/>
    <w:rsid w:val="0BEC769C"/>
    <w:rsid w:val="0D8862E0"/>
    <w:rsid w:val="0DFF6F25"/>
    <w:rsid w:val="0F9D006B"/>
    <w:rsid w:val="12187FE5"/>
    <w:rsid w:val="134D3987"/>
    <w:rsid w:val="13557C2C"/>
    <w:rsid w:val="143B397F"/>
    <w:rsid w:val="146877E8"/>
    <w:rsid w:val="15023EEC"/>
    <w:rsid w:val="182933DF"/>
    <w:rsid w:val="1B2F7376"/>
    <w:rsid w:val="1CEE52AD"/>
    <w:rsid w:val="21C212F3"/>
    <w:rsid w:val="235159A5"/>
    <w:rsid w:val="240D5F5D"/>
    <w:rsid w:val="26253CE0"/>
    <w:rsid w:val="29AC0054"/>
    <w:rsid w:val="2C1C4BDB"/>
    <w:rsid w:val="2DC37484"/>
    <w:rsid w:val="2DDA6BEB"/>
    <w:rsid w:val="2E9E12BF"/>
    <w:rsid w:val="32FB23ED"/>
    <w:rsid w:val="35BC138C"/>
    <w:rsid w:val="37963EB5"/>
    <w:rsid w:val="37DC5C2D"/>
    <w:rsid w:val="382B578E"/>
    <w:rsid w:val="3AA351C1"/>
    <w:rsid w:val="3AC17B41"/>
    <w:rsid w:val="3B84242C"/>
    <w:rsid w:val="3CB4753F"/>
    <w:rsid w:val="3D63427B"/>
    <w:rsid w:val="3DAB02A7"/>
    <w:rsid w:val="3E391EDF"/>
    <w:rsid w:val="40066607"/>
    <w:rsid w:val="40B97AFE"/>
    <w:rsid w:val="439804DC"/>
    <w:rsid w:val="441850E7"/>
    <w:rsid w:val="444E210B"/>
    <w:rsid w:val="44784922"/>
    <w:rsid w:val="47580886"/>
    <w:rsid w:val="48D24877"/>
    <w:rsid w:val="48DD6961"/>
    <w:rsid w:val="4A6F7DBD"/>
    <w:rsid w:val="4E862F89"/>
    <w:rsid w:val="4EA806F3"/>
    <w:rsid w:val="4F8A13AC"/>
    <w:rsid w:val="5115598F"/>
    <w:rsid w:val="52A27F4A"/>
    <w:rsid w:val="5336088A"/>
    <w:rsid w:val="54A25CB7"/>
    <w:rsid w:val="553071F2"/>
    <w:rsid w:val="56417065"/>
    <w:rsid w:val="58026173"/>
    <w:rsid w:val="5B745BDF"/>
    <w:rsid w:val="5CFA26BB"/>
    <w:rsid w:val="639A5310"/>
    <w:rsid w:val="65272D8C"/>
    <w:rsid w:val="68F62C3D"/>
    <w:rsid w:val="6C07121E"/>
    <w:rsid w:val="6D4F00CD"/>
    <w:rsid w:val="6F3B6C4D"/>
    <w:rsid w:val="714347D5"/>
    <w:rsid w:val="715D4554"/>
    <w:rsid w:val="72AB358A"/>
    <w:rsid w:val="734706DE"/>
    <w:rsid w:val="738E5DD7"/>
    <w:rsid w:val="73FE6719"/>
    <w:rsid w:val="742A6E1A"/>
    <w:rsid w:val="745D6BBA"/>
    <w:rsid w:val="74AD3444"/>
    <w:rsid w:val="74D83640"/>
    <w:rsid w:val="77CC5AB6"/>
    <w:rsid w:val="782E6B28"/>
    <w:rsid w:val="7BDE12A6"/>
    <w:rsid w:val="7CAC6E0B"/>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727"/>
    <w:pPr>
      <w:widowControl w:val="0"/>
      <w:jc w:val="both"/>
    </w:pPr>
    <w:rPr>
      <w:kern w:val="2"/>
      <w:sz w:val="21"/>
      <w:szCs w:val="24"/>
    </w:rPr>
  </w:style>
  <w:style w:type="paragraph" w:styleId="1">
    <w:name w:val="heading 1"/>
    <w:basedOn w:val="a"/>
    <w:next w:val="a"/>
    <w:qFormat/>
    <w:rsid w:val="007C7727"/>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7C7727"/>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7C772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C7727"/>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7C7727"/>
    <w:rPr>
      <w:rFonts w:ascii="宋体"/>
      <w:sz w:val="18"/>
      <w:szCs w:val="18"/>
    </w:rPr>
  </w:style>
  <w:style w:type="paragraph" w:styleId="a5">
    <w:name w:val="annotation text"/>
    <w:basedOn w:val="a"/>
    <w:link w:val="Char0"/>
    <w:qFormat/>
    <w:rsid w:val="007C7727"/>
    <w:pPr>
      <w:jc w:val="left"/>
    </w:pPr>
    <w:rPr>
      <w:szCs w:val="20"/>
    </w:rPr>
  </w:style>
  <w:style w:type="paragraph" w:styleId="a6">
    <w:name w:val="Body Text Indent"/>
    <w:basedOn w:val="a"/>
    <w:qFormat/>
    <w:rsid w:val="007C7727"/>
    <w:pPr>
      <w:spacing w:after="120"/>
      <w:ind w:leftChars="200" w:left="420"/>
    </w:pPr>
  </w:style>
  <w:style w:type="paragraph" w:styleId="30">
    <w:name w:val="toc 3"/>
    <w:basedOn w:val="a"/>
    <w:next w:val="a"/>
    <w:uiPriority w:val="39"/>
    <w:qFormat/>
    <w:rsid w:val="007C7727"/>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7C7727"/>
    <w:rPr>
      <w:rFonts w:ascii="宋体" w:hAnsi="宋体"/>
      <w:szCs w:val="20"/>
    </w:rPr>
  </w:style>
  <w:style w:type="paragraph" w:styleId="a8">
    <w:name w:val="Date"/>
    <w:basedOn w:val="a"/>
    <w:next w:val="a"/>
    <w:qFormat/>
    <w:rsid w:val="007C7727"/>
    <w:pPr>
      <w:ind w:leftChars="2500" w:left="100"/>
    </w:pPr>
  </w:style>
  <w:style w:type="paragraph" w:styleId="20">
    <w:name w:val="Body Text Indent 2"/>
    <w:basedOn w:val="a"/>
    <w:qFormat/>
    <w:rsid w:val="007C7727"/>
    <w:pPr>
      <w:spacing w:line="500" w:lineRule="exact"/>
      <w:ind w:firstLine="573"/>
    </w:pPr>
    <w:rPr>
      <w:rFonts w:ascii="仿宋_GB2312" w:eastAsia="仿宋_GB2312"/>
      <w:sz w:val="28"/>
    </w:rPr>
  </w:style>
  <w:style w:type="paragraph" w:styleId="a9">
    <w:name w:val="Balloon Text"/>
    <w:basedOn w:val="a"/>
    <w:qFormat/>
    <w:rsid w:val="007C7727"/>
    <w:rPr>
      <w:sz w:val="18"/>
      <w:szCs w:val="18"/>
    </w:rPr>
  </w:style>
  <w:style w:type="paragraph" w:styleId="aa">
    <w:name w:val="footer"/>
    <w:basedOn w:val="a"/>
    <w:link w:val="Char2"/>
    <w:qFormat/>
    <w:rsid w:val="007C7727"/>
    <w:pPr>
      <w:tabs>
        <w:tab w:val="center" w:pos="4153"/>
        <w:tab w:val="right" w:pos="8306"/>
      </w:tabs>
      <w:snapToGrid w:val="0"/>
      <w:jc w:val="left"/>
    </w:pPr>
    <w:rPr>
      <w:sz w:val="18"/>
      <w:szCs w:val="18"/>
    </w:rPr>
  </w:style>
  <w:style w:type="paragraph" w:styleId="ab">
    <w:name w:val="header"/>
    <w:basedOn w:val="a"/>
    <w:link w:val="Char3"/>
    <w:uiPriority w:val="99"/>
    <w:qFormat/>
    <w:rsid w:val="007C772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C7727"/>
  </w:style>
  <w:style w:type="paragraph" w:styleId="21">
    <w:name w:val="toc 2"/>
    <w:basedOn w:val="a"/>
    <w:next w:val="a"/>
    <w:uiPriority w:val="39"/>
    <w:qFormat/>
    <w:rsid w:val="007C7727"/>
    <w:pPr>
      <w:ind w:leftChars="200" w:left="420"/>
    </w:pPr>
  </w:style>
  <w:style w:type="paragraph" w:styleId="ac">
    <w:name w:val="Normal (Web)"/>
    <w:basedOn w:val="a"/>
    <w:qFormat/>
    <w:rsid w:val="007C7727"/>
    <w:pPr>
      <w:widowControl/>
      <w:jc w:val="left"/>
    </w:pPr>
    <w:rPr>
      <w:rFonts w:ascii="宋体" w:hAnsi="宋体" w:cs="宋体"/>
      <w:kern w:val="0"/>
      <w:sz w:val="24"/>
    </w:rPr>
  </w:style>
  <w:style w:type="character" w:styleId="ad">
    <w:name w:val="page number"/>
    <w:basedOn w:val="a0"/>
    <w:qFormat/>
    <w:rsid w:val="007C7727"/>
  </w:style>
  <w:style w:type="character" w:styleId="ae">
    <w:name w:val="FollowedHyperlink"/>
    <w:basedOn w:val="a0"/>
    <w:qFormat/>
    <w:rsid w:val="007C7727"/>
    <w:rPr>
      <w:color w:val="000000"/>
      <w:sz w:val="18"/>
      <w:szCs w:val="18"/>
      <w:u w:val="none"/>
    </w:rPr>
  </w:style>
  <w:style w:type="character" w:styleId="af">
    <w:name w:val="Hyperlink"/>
    <w:basedOn w:val="a0"/>
    <w:uiPriority w:val="99"/>
    <w:qFormat/>
    <w:rsid w:val="007C7727"/>
    <w:rPr>
      <w:color w:val="000000"/>
      <w:sz w:val="18"/>
      <w:szCs w:val="18"/>
      <w:u w:val="none"/>
    </w:rPr>
  </w:style>
  <w:style w:type="character" w:styleId="af0">
    <w:name w:val="annotation reference"/>
    <w:basedOn w:val="a0"/>
    <w:qFormat/>
    <w:rsid w:val="007C7727"/>
    <w:rPr>
      <w:sz w:val="21"/>
      <w:szCs w:val="21"/>
    </w:rPr>
  </w:style>
  <w:style w:type="table" w:styleId="af1">
    <w:name w:val="Table Grid"/>
    <w:basedOn w:val="a1"/>
    <w:qFormat/>
    <w:rsid w:val="007C77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7C7727"/>
    <w:rPr>
      <w:rFonts w:eastAsia="宋体"/>
      <w:b/>
      <w:bCs/>
      <w:kern w:val="2"/>
      <w:sz w:val="32"/>
      <w:szCs w:val="32"/>
      <w:lang w:val="en-US" w:eastAsia="zh-CN" w:bidi="ar-SA"/>
    </w:rPr>
  </w:style>
  <w:style w:type="character" w:customStyle="1" w:styleId="font51">
    <w:name w:val="font51"/>
    <w:qFormat/>
    <w:rsid w:val="007C7727"/>
    <w:rPr>
      <w:rFonts w:ascii="宋体" w:eastAsia="宋体" w:hAnsi="宋体" w:cs="宋体" w:hint="eastAsia"/>
      <w:color w:val="000000"/>
      <w:sz w:val="20"/>
      <w:szCs w:val="20"/>
      <w:u w:val="none"/>
    </w:rPr>
  </w:style>
  <w:style w:type="character" w:customStyle="1" w:styleId="Char">
    <w:name w:val="文档结构图 Char"/>
    <w:basedOn w:val="a0"/>
    <w:link w:val="a4"/>
    <w:qFormat/>
    <w:rsid w:val="007C7727"/>
    <w:rPr>
      <w:rFonts w:ascii="宋体"/>
      <w:kern w:val="2"/>
      <w:sz w:val="18"/>
      <w:szCs w:val="18"/>
    </w:rPr>
  </w:style>
  <w:style w:type="character" w:customStyle="1" w:styleId="Char0">
    <w:name w:val="批注文字 Char"/>
    <w:basedOn w:val="a0"/>
    <w:link w:val="a5"/>
    <w:qFormat/>
    <w:rsid w:val="007C7727"/>
    <w:rPr>
      <w:kern w:val="2"/>
      <w:sz w:val="21"/>
    </w:rPr>
  </w:style>
  <w:style w:type="character" w:customStyle="1" w:styleId="ellipsis">
    <w:name w:val="ellipsis"/>
    <w:basedOn w:val="a0"/>
    <w:qFormat/>
    <w:rsid w:val="007C7727"/>
  </w:style>
  <w:style w:type="character" w:customStyle="1" w:styleId="Char1">
    <w:name w:val="纯文本 Char"/>
    <w:basedOn w:val="a0"/>
    <w:link w:val="a7"/>
    <w:qFormat/>
    <w:rsid w:val="007C7727"/>
    <w:rPr>
      <w:rFonts w:ascii="宋体" w:hAnsi="宋体"/>
      <w:kern w:val="2"/>
      <w:sz w:val="21"/>
    </w:rPr>
  </w:style>
  <w:style w:type="paragraph" w:customStyle="1" w:styleId="font0">
    <w:name w:val="font0"/>
    <w:basedOn w:val="a"/>
    <w:qFormat/>
    <w:rsid w:val="007C7727"/>
    <w:pPr>
      <w:widowControl/>
      <w:jc w:val="center"/>
    </w:pPr>
    <w:rPr>
      <w:rFonts w:ascii="黑体" w:eastAsia="黑体" w:hAnsi="宋体" w:cs="Arial Unicode MS"/>
      <w:kern w:val="0"/>
    </w:rPr>
  </w:style>
  <w:style w:type="paragraph" w:customStyle="1" w:styleId="Char4">
    <w:name w:val="Char"/>
    <w:basedOn w:val="a"/>
    <w:qFormat/>
    <w:rsid w:val="007C7727"/>
    <w:rPr>
      <w:szCs w:val="20"/>
    </w:rPr>
  </w:style>
  <w:style w:type="paragraph" w:customStyle="1" w:styleId="7">
    <w:name w:val="样式7"/>
    <w:basedOn w:val="a"/>
    <w:qFormat/>
    <w:rsid w:val="007C7727"/>
    <w:pPr>
      <w:spacing w:line="360" w:lineRule="auto"/>
      <w:ind w:firstLine="567"/>
    </w:pPr>
    <w:rPr>
      <w:rFonts w:ascii="仿宋_GB2312" w:eastAsia="仿宋_GB2312"/>
      <w:sz w:val="28"/>
      <w:szCs w:val="20"/>
    </w:rPr>
  </w:style>
  <w:style w:type="paragraph" w:customStyle="1" w:styleId="Char10">
    <w:name w:val="Char1"/>
    <w:basedOn w:val="a"/>
    <w:qFormat/>
    <w:rsid w:val="007C7727"/>
  </w:style>
  <w:style w:type="character" w:customStyle="1" w:styleId="Char3">
    <w:name w:val="页眉 Char"/>
    <w:basedOn w:val="a0"/>
    <w:link w:val="ab"/>
    <w:uiPriority w:val="99"/>
    <w:qFormat/>
    <w:rsid w:val="007C7727"/>
    <w:rPr>
      <w:kern w:val="2"/>
      <w:sz w:val="18"/>
      <w:szCs w:val="18"/>
    </w:rPr>
  </w:style>
  <w:style w:type="character" w:customStyle="1" w:styleId="Char2">
    <w:name w:val="页脚 Char"/>
    <w:basedOn w:val="a0"/>
    <w:link w:val="aa"/>
    <w:uiPriority w:val="99"/>
    <w:qFormat/>
    <w:rsid w:val="007C7727"/>
    <w:rPr>
      <w:kern w:val="2"/>
      <w:sz w:val="18"/>
      <w:szCs w:val="18"/>
    </w:rPr>
  </w:style>
  <w:style w:type="paragraph" w:styleId="af2">
    <w:name w:val="List Paragraph"/>
    <w:basedOn w:val="a"/>
    <w:uiPriority w:val="99"/>
    <w:unhideWhenUsed/>
    <w:qFormat/>
    <w:rsid w:val="007C772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32665-55A4-4173-ABFB-9FCD9701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1099</Words>
  <Characters>6269</Characters>
  <Application>Microsoft Office Word</Application>
  <DocSecurity>0</DocSecurity>
  <Lines>52</Lines>
  <Paragraphs>14</Paragraphs>
  <ScaleCrop>false</ScaleCrop>
  <Company>Microsoft</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30</cp:revision>
  <cp:lastPrinted>2018-09-28T05:54:00Z</cp:lastPrinted>
  <dcterms:created xsi:type="dcterms:W3CDTF">2018-01-29T01:46:00Z</dcterms:created>
  <dcterms:modified xsi:type="dcterms:W3CDTF">2018-09-28T05:54:00Z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