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1000" w:lineRule="exact"/>
        <w:jc w:val="center"/>
        <w:rPr>
          <w:rFonts w:ascii="宋体"/>
          <w:w w:val="80"/>
          <w:sz w:val="24"/>
        </w:rPr>
      </w:pPr>
      <w:r>
        <w:rPr>
          <w:rFonts w:hint="eastAsia" w:ascii="宋体" w:hAnsi="宋体"/>
          <w:w w:val="80"/>
          <w:sz w:val="24"/>
        </w:rPr>
        <w:t>估价项目名称：</w:t>
      </w:r>
      <w:r>
        <w:rPr>
          <w:rFonts w:hint="eastAsia" w:ascii="宋体" w:hAnsi="宋体"/>
          <w:w w:val="80"/>
          <w:sz w:val="24"/>
          <w:lang w:eastAsia="zh-CN"/>
        </w:rPr>
        <w:t>临淄区单家新村30号楼1单元5层东户</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w:t>
      </w:r>
      <w:r>
        <w:rPr>
          <w:rFonts w:hint="eastAsia" w:ascii="宋体" w:hAnsi="宋体"/>
          <w:sz w:val="28"/>
          <w:lang w:eastAsia="zh-CN"/>
        </w:rPr>
        <w:t>临淄区</w:t>
      </w:r>
      <w:r>
        <w:rPr>
          <w:rFonts w:hint="eastAsia" w:ascii="宋体" w:hAnsi="宋体"/>
          <w:sz w:val="28"/>
        </w:rPr>
        <w:t>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2018年6月8日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249</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lang w:eastAsia="zh-CN"/>
        </w:rPr>
        <w:t>临淄区</w:t>
      </w:r>
      <w:r>
        <w:rPr>
          <w:rFonts w:hint="eastAsia" w:ascii="宋体" w:hAnsi="宋体"/>
          <w:b/>
          <w:sz w:val="28"/>
        </w:rPr>
        <w:t>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2018年5月30日</w:t>
      </w:r>
      <w:r>
        <w:rPr>
          <w:rFonts w:hint="eastAsia" w:ascii="宋体" w:hAnsi="宋体"/>
          <w:sz w:val="28"/>
        </w:rPr>
        <w:t>至</w:t>
      </w:r>
      <w:r>
        <w:rPr>
          <w:rFonts w:hint="eastAsia" w:ascii="宋体" w:hAnsi="宋体"/>
          <w:sz w:val="28"/>
          <w:lang w:eastAsia="zh-CN"/>
        </w:rPr>
        <w:t>2018年6月8日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临淄区单家新村30号楼1单元5层东户</w:t>
      </w:r>
      <w:r>
        <w:rPr>
          <w:rFonts w:hint="eastAsia" w:ascii="宋体" w:hAnsi="宋体" w:cs="宋体"/>
          <w:sz w:val="28"/>
          <w:szCs w:val="28"/>
        </w:rPr>
        <w:t>的一套房地产</w:t>
      </w:r>
      <w:r>
        <w:rPr>
          <w:rFonts w:hint="eastAsia" w:ascii="宋体" w:hAnsi="宋体"/>
          <w:sz w:val="28"/>
          <w:lang w:eastAsia="zh-CN"/>
        </w:rPr>
        <w:t>（</w:t>
      </w:r>
      <w:r>
        <w:rPr>
          <w:rFonts w:hint="eastAsia" w:ascii="宋体" w:hAnsi="宋体"/>
          <w:sz w:val="28"/>
          <w:lang w:val="en-US" w:eastAsia="zh-CN"/>
        </w:rPr>
        <w:t>含储藏室一个</w:t>
      </w:r>
      <w:r>
        <w:rPr>
          <w:rFonts w:hint="eastAsia" w:ascii="宋体" w:hAnsi="宋体"/>
          <w:sz w:val="28"/>
          <w:lang w:eastAsia="zh-CN"/>
        </w:rPr>
        <w:t>）</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临淄区单家新村30号楼1单元5层东户</w:t>
      </w:r>
      <w:r>
        <w:rPr>
          <w:rFonts w:hint="eastAsia" w:ascii="宋体" w:hAnsi="宋体"/>
          <w:sz w:val="28"/>
        </w:rPr>
        <w:t>，根据《产权、产籍档案证明》：产权人为</w:t>
      </w:r>
      <w:r>
        <w:rPr>
          <w:rFonts w:hint="eastAsia" w:ascii="宋体" w:hAnsi="宋体"/>
          <w:sz w:val="28"/>
          <w:lang w:eastAsia="zh-CN"/>
        </w:rPr>
        <w:t>李永建</w:t>
      </w:r>
      <w:r>
        <w:rPr>
          <w:rFonts w:hint="eastAsia" w:ascii="宋体" w:hAnsi="宋体"/>
          <w:sz w:val="28"/>
        </w:rPr>
        <w:t>，</w:t>
      </w:r>
      <w:r>
        <w:rPr>
          <w:rFonts w:hint="eastAsia" w:ascii="宋体" w:hAnsi="宋体"/>
          <w:sz w:val="28"/>
          <w:lang w:eastAsia="zh-CN"/>
        </w:rPr>
        <w:t>共同所有人：李蒙</w:t>
      </w:r>
      <w:r>
        <w:rPr>
          <w:rFonts w:hint="eastAsia" w:ascii="宋体" w:hAnsi="宋体"/>
          <w:sz w:val="28"/>
        </w:rPr>
        <w:t>，产权证号：</w:t>
      </w:r>
      <w:r>
        <w:rPr>
          <w:rFonts w:hint="eastAsia" w:ascii="宋体" w:hAnsi="宋体"/>
          <w:sz w:val="28"/>
          <w:lang w:eastAsia="zh-CN"/>
        </w:rPr>
        <w:t>07-1057660</w:t>
      </w:r>
      <w:r>
        <w:rPr>
          <w:rFonts w:hint="eastAsia" w:ascii="宋体" w:hAnsi="宋体"/>
          <w:sz w:val="28"/>
        </w:rPr>
        <w:t>，建筑面积为</w:t>
      </w:r>
      <w:r>
        <w:rPr>
          <w:rFonts w:hint="eastAsia" w:ascii="宋体" w:hAnsi="宋体"/>
          <w:sz w:val="28"/>
          <w:lang w:eastAsia="zh-CN"/>
        </w:rPr>
        <w:t>113.01</w:t>
      </w:r>
      <w:r>
        <w:rPr>
          <w:rFonts w:hint="eastAsia" w:ascii="宋体" w:hAnsi="宋体"/>
          <w:sz w:val="28"/>
        </w:rPr>
        <w:t>㎡，在价值时点</w:t>
      </w:r>
      <w:r>
        <w:rPr>
          <w:rFonts w:hint="eastAsia" w:ascii="宋体" w:hAnsi="宋体"/>
          <w:sz w:val="28"/>
          <w:lang w:eastAsia="zh-CN"/>
        </w:rPr>
        <w:t>2018年5月30日</w:t>
      </w:r>
      <w:r>
        <w:rPr>
          <w:rFonts w:hint="eastAsia" w:ascii="宋体" w:hAnsi="宋体"/>
          <w:sz w:val="28"/>
        </w:rPr>
        <w:t>估价对象房地产</w:t>
      </w:r>
      <w:r>
        <w:rPr>
          <w:rFonts w:hint="eastAsia" w:ascii="宋体" w:hAnsi="宋体"/>
          <w:sz w:val="28"/>
          <w:lang w:eastAsia="zh-CN"/>
        </w:rPr>
        <w:t>（</w:t>
      </w:r>
      <w:r>
        <w:rPr>
          <w:rFonts w:hint="eastAsia" w:ascii="宋体" w:hAnsi="宋体"/>
          <w:sz w:val="28"/>
          <w:lang w:val="en-US" w:eastAsia="zh-CN"/>
        </w:rPr>
        <w:t>含储藏室一个</w:t>
      </w:r>
      <w:r>
        <w:rPr>
          <w:rFonts w:hint="eastAsia" w:ascii="宋体" w:hAnsi="宋体"/>
          <w:sz w:val="28"/>
          <w:lang w:eastAsia="zh-CN"/>
        </w:rPr>
        <w:t>）</w:t>
      </w:r>
      <w:r>
        <w:rPr>
          <w:rFonts w:hint="eastAsia" w:ascii="宋体" w:hAnsi="宋体"/>
          <w:sz w:val="28"/>
        </w:rPr>
        <w:t>的市场价评估总值为</w:t>
      </w:r>
      <w:r>
        <w:rPr>
          <w:rFonts w:hint="eastAsia" w:ascii="宋体" w:hAnsi="宋体"/>
          <w:b/>
          <w:sz w:val="28"/>
          <w:lang w:eastAsia="zh-CN"/>
        </w:rPr>
        <w:t>86.76</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捌拾陆万柒仟陆佰元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7677.20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2018年5月30日</w:t>
      </w:r>
      <w:r>
        <w:rPr>
          <w:rFonts w:hint="eastAsia" w:ascii="宋体" w:hAnsi="宋体"/>
          <w:sz w:val="28"/>
          <w:szCs w:val="28"/>
        </w:rPr>
        <w:t>起至</w:t>
      </w:r>
      <w:r>
        <w:rPr>
          <w:rFonts w:hint="eastAsia" w:ascii="宋体" w:hAnsi="宋体"/>
          <w:sz w:val="28"/>
          <w:szCs w:val="28"/>
          <w:lang w:eastAsia="zh-CN"/>
        </w:rPr>
        <w:t>2019年5月29日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lang w:eastAsia="zh-CN"/>
        </w:rPr>
        <w:t>二〇一八年</w:t>
      </w:r>
      <w:r>
        <w:rPr>
          <w:rFonts w:hint="eastAsia" w:ascii="宋体" w:hAnsi="宋体"/>
          <w:sz w:val="28"/>
          <w:lang w:val="en-US" w:eastAsia="zh-CN"/>
        </w:rPr>
        <w:t>六</w:t>
      </w:r>
      <w:r>
        <w:rPr>
          <w:rFonts w:hint="eastAsia" w:ascii="宋体" w:hAnsi="宋体"/>
          <w:sz w:val="28"/>
        </w:rPr>
        <w:t>月</w:t>
      </w:r>
      <w:r>
        <w:rPr>
          <w:rFonts w:hint="eastAsia" w:ascii="宋体" w:hAnsi="宋体"/>
          <w:sz w:val="28"/>
          <w:lang w:val="en-US" w:eastAsia="zh-CN"/>
        </w:rPr>
        <w:t>八</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2018年5月30日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hAnsi="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2018年6月8日</w:t>
      </w:r>
    </w:p>
    <w:p>
      <w:pPr>
        <w:spacing w:line="500" w:lineRule="exact"/>
        <w:rPr>
          <w:rFonts w:hint="eastAsia" w:ascii="宋体" w:hAnsi="宋体"/>
          <w:sz w:val="28"/>
          <w:szCs w:val="28"/>
          <w:lang w:eastAsia="zh-CN"/>
        </w:rPr>
      </w:pPr>
    </w:p>
    <w:p>
      <w:pPr>
        <w:spacing w:line="500" w:lineRule="exact"/>
        <w:ind w:firstLine="420" w:firstLineChars="150"/>
        <w:rPr>
          <w:rFonts w:ascii="宋体"/>
          <w:sz w:val="28"/>
          <w:szCs w:val="28"/>
        </w:rPr>
      </w:pPr>
    </w:p>
    <w:p>
      <w:pPr>
        <w:spacing w:line="500" w:lineRule="exact"/>
        <w:rPr>
          <w:rFonts w:ascii="宋体"/>
          <w:sz w:val="28"/>
          <w:szCs w:val="28"/>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2018年6月8日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2018年5月30日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2018年5月30日</w:t>
      </w:r>
      <w:r>
        <w:rPr>
          <w:rFonts w:hint="eastAsia" w:ascii="宋体" w:hAnsi="宋体"/>
          <w:sz w:val="28"/>
        </w:rPr>
        <w:t>起至</w:t>
      </w:r>
      <w:r>
        <w:rPr>
          <w:rFonts w:hint="eastAsia" w:ascii="宋体" w:hAnsi="宋体"/>
          <w:sz w:val="28"/>
          <w:lang w:eastAsia="zh-CN"/>
        </w:rPr>
        <w:t>2019年5月29日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lang w:eastAsia="zh-CN"/>
        </w:rPr>
        <w:t>临淄区</w:t>
      </w:r>
      <w:r>
        <w:rPr>
          <w:rFonts w:hint="eastAsia" w:ascii="宋体" w:hAnsi="宋体" w:cs="宋体"/>
          <w:sz w:val="28"/>
        </w:rPr>
        <w:t>人民法院</w:t>
      </w:r>
    </w:p>
    <w:p>
      <w:pPr>
        <w:pStyle w:val="3"/>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单位名称：山东三一资产评估土地房地产估价有限公司</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法定代表人：高其林</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资质等级：国家贰级</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营业执照注册号：</w:t>
      </w:r>
      <w:r>
        <w:rPr>
          <w:rFonts w:ascii="宋体" w:hAnsi="宋体"/>
          <w:sz w:val="28"/>
        </w:rPr>
        <w:t>370705200019191</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sz w:val="28"/>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7072385</w:t>
      </w:r>
    </w:p>
    <w:p>
      <w:pPr>
        <w:pStyle w:val="3"/>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ascii="黑体" w:hAnsi="宋体" w:eastAsia="黑体"/>
          <w:b w:val="0"/>
          <w:bCs w:val="0"/>
          <w:sz w:val="28"/>
        </w:rPr>
      </w:pPr>
      <w:bookmarkStart w:id="6" w:name="_Toc463797141"/>
      <w:r>
        <w:rPr>
          <w:rFonts w:hint="eastAsia" w:ascii="黑体" w:hAnsi="宋体" w:eastAsia="黑体"/>
          <w:sz w:val="28"/>
        </w:rPr>
        <w:t>三、估价对象</w:t>
      </w:r>
      <w:bookmarkEnd w:id="6"/>
    </w:p>
    <w:p>
      <w:pPr>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b/>
          <w:sz w:val="28"/>
        </w:rPr>
      </w:pPr>
      <w:r>
        <w:rPr>
          <w:rFonts w:hint="eastAsia" w:ascii="宋体" w:hAnsi="宋体"/>
          <w:b/>
          <w:bCs/>
          <w:sz w:val="28"/>
        </w:rPr>
        <w:t>（一）</w:t>
      </w:r>
      <w:r>
        <w:rPr>
          <w:rFonts w:hint="eastAsia" w:ascii="宋体" w:hAnsi="宋体"/>
          <w:b/>
          <w:sz w:val="28"/>
        </w:rPr>
        <w:t>估价范围</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sz w:val="28"/>
        </w:rPr>
      </w:pPr>
      <w:r>
        <w:rPr>
          <w:rFonts w:hint="eastAsia" w:ascii="宋体" w:hAnsi="宋体"/>
          <w:sz w:val="28"/>
        </w:rPr>
        <w:t>估价对象位于</w:t>
      </w:r>
      <w:r>
        <w:rPr>
          <w:rFonts w:hint="eastAsia" w:ascii="宋体" w:hAnsi="宋体" w:cs="宋体"/>
          <w:sz w:val="28"/>
          <w:szCs w:val="28"/>
          <w:lang w:eastAsia="zh-CN"/>
        </w:rPr>
        <w:t>临淄区单家新村30号楼1单元5层东户</w:t>
      </w:r>
      <w:r>
        <w:rPr>
          <w:rFonts w:hint="eastAsia" w:ascii="宋体" w:hAnsi="宋体"/>
          <w:sz w:val="28"/>
        </w:rPr>
        <w:t>，建筑面积为</w:t>
      </w:r>
      <w:r>
        <w:rPr>
          <w:rFonts w:hint="eastAsia" w:ascii="宋体" w:hAnsi="宋体"/>
          <w:sz w:val="28"/>
          <w:lang w:eastAsia="zh-CN"/>
        </w:rPr>
        <w:t>113.01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b/>
          <w:bCs/>
          <w:sz w:val="28"/>
        </w:rPr>
      </w:pPr>
      <w:r>
        <w:rPr>
          <w:rFonts w:hint="eastAsia" w:ascii="宋体" w:hAnsi="宋体"/>
          <w:b/>
          <w:bCs/>
          <w:sz w:val="28"/>
        </w:rPr>
        <w:t>（二）权益状况</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sz w:val="28"/>
        </w:rPr>
      </w:pPr>
      <w:r>
        <w:rPr>
          <w:rFonts w:hint="eastAsia" w:ascii="宋体" w:hAnsi="宋体"/>
          <w:sz w:val="28"/>
        </w:rPr>
        <w:t>根据《产权、产籍证明》</w:t>
      </w:r>
      <w:r>
        <w:rPr>
          <w:rFonts w:hint="eastAsia" w:ascii="宋体" w:hAnsi="宋体"/>
          <w:sz w:val="28"/>
          <w:szCs w:val="28"/>
        </w:rPr>
        <w:t>：</w:t>
      </w:r>
      <w:r>
        <w:rPr>
          <w:rFonts w:hint="eastAsia" w:ascii="宋体" w:hAnsi="宋体"/>
          <w:sz w:val="28"/>
        </w:rPr>
        <w:t>估价对象产权人为</w:t>
      </w:r>
      <w:r>
        <w:rPr>
          <w:rFonts w:hint="eastAsia" w:ascii="宋体" w:hAnsi="宋体"/>
          <w:sz w:val="28"/>
          <w:lang w:eastAsia="zh-CN"/>
        </w:rPr>
        <w:t>李永建</w:t>
      </w:r>
      <w:r>
        <w:rPr>
          <w:rFonts w:hint="eastAsia" w:ascii="宋体" w:hAnsi="宋体"/>
          <w:sz w:val="28"/>
        </w:rPr>
        <w:t>，</w:t>
      </w:r>
      <w:r>
        <w:rPr>
          <w:rFonts w:hint="eastAsia" w:ascii="宋体" w:hAnsi="宋体"/>
          <w:sz w:val="28"/>
          <w:lang w:eastAsia="zh-CN"/>
        </w:rPr>
        <w:t>共同所有人：李蒙</w:t>
      </w:r>
      <w:r>
        <w:rPr>
          <w:rFonts w:hint="eastAsia" w:ascii="宋体" w:hAnsi="宋体"/>
          <w:sz w:val="28"/>
        </w:rPr>
        <w:t>，产权证号：</w:t>
      </w:r>
      <w:r>
        <w:rPr>
          <w:rFonts w:hint="eastAsia" w:ascii="宋体" w:hAnsi="宋体"/>
          <w:sz w:val="28"/>
          <w:lang w:eastAsia="zh-CN"/>
        </w:rPr>
        <w:t>07-1057660</w:t>
      </w:r>
      <w:r>
        <w:rPr>
          <w:rFonts w:hint="eastAsia" w:ascii="宋体" w:hAnsi="宋体"/>
          <w:sz w:val="28"/>
        </w:rPr>
        <w:t>，房屋类型：住宅，委托方未提供国有土地使用证，产权清晰。</w:t>
      </w:r>
    </w:p>
    <w:p>
      <w:pPr>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b/>
          <w:sz w:val="28"/>
        </w:rPr>
      </w:pPr>
      <w:r>
        <w:rPr>
          <w:rFonts w:hint="eastAsia" w:ascii="宋体" w:hAnsi="宋体"/>
          <w:b/>
          <w:sz w:val="28"/>
        </w:rPr>
        <w:t>（三）实物状况</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eastAsia="宋体"/>
          <w:color w:val="FF0000"/>
          <w:sz w:val="28"/>
          <w:lang w:val="en-US" w:eastAsia="zh-CN"/>
        </w:rPr>
      </w:pPr>
      <w:r>
        <w:rPr>
          <w:rFonts w:hint="eastAsia" w:ascii="宋体" w:hAnsi="宋体"/>
          <w:sz w:val="28"/>
        </w:rPr>
        <w:t>估价对象坐落于</w:t>
      </w:r>
      <w:r>
        <w:rPr>
          <w:rFonts w:hint="eastAsia" w:ascii="宋体" w:hAnsi="宋体"/>
          <w:sz w:val="28"/>
          <w:lang w:eastAsia="zh-CN"/>
        </w:rPr>
        <w:t>临淄区单家新村30号楼1单元5层东户</w:t>
      </w:r>
      <w:r>
        <w:rPr>
          <w:rFonts w:hint="eastAsia" w:ascii="宋体" w:hAnsi="宋体"/>
          <w:sz w:val="28"/>
        </w:rPr>
        <w:t>，估价对象总层数</w:t>
      </w:r>
      <w:r>
        <w:rPr>
          <w:rFonts w:hint="eastAsia" w:ascii="宋体" w:hAnsi="宋体"/>
          <w:sz w:val="28"/>
          <w:lang w:val="en-US" w:eastAsia="zh-CN"/>
        </w:rPr>
        <w:t>6</w:t>
      </w:r>
      <w:r>
        <w:rPr>
          <w:rFonts w:hint="eastAsia" w:ascii="宋体" w:hAnsi="宋体"/>
          <w:sz w:val="28"/>
        </w:rPr>
        <w:t>层，估价对象为第</w:t>
      </w:r>
      <w:r>
        <w:rPr>
          <w:rFonts w:hint="eastAsia" w:ascii="宋体" w:hAnsi="宋体"/>
          <w:sz w:val="28"/>
          <w:lang w:val="en-US" w:eastAsia="zh-CN"/>
        </w:rPr>
        <w:t>5</w:t>
      </w:r>
      <w:r>
        <w:rPr>
          <w:rFonts w:hint="eastAsia" w:ascii="宋体" w:hAnsi="宋体"/>
          <w:sz w:val="28"/>
        </w:rPr>
        <w:t>层，混合结构，建筑面积</w:t>
      </w:r>
      <w:r>
        <w:rPr>
          <w:rFonts w:hint="eastAsia" w:ascii="宋体" w:hAnsi="宋体"/>
          <w:sz w:val="28"/>
          <w:lang w:eastAsia="zh-CN"/>
        </w:rPr>
        <w:t>113.01</w:t>
      </w:r>
      <w:r>
        <w:rPr>
          <w:rFonts w:hint="eastAsia" w:ascii="宋体" w:hAnsi="宋体"/>
          <w:sz w:val="28"/>
        </w:rPr>
        <w:t>㎡，外墙</w:t>
      </w:r>
      <w:r>
        <w:rPr>
          <w:rFonts w:hint="eastAsia" w:ascii="宋体" w:hAnsi="宋体"/>
          <w:sz w:val="28"/>
          <w:lang w:val="en-US" w:eastAsia="zh-CN"/>
        </w:rPr>
        <w:t>刷乳胶漆</w:t>
      </w:r>
      <w:r>
        <w:rPr>
          <w:rFonts w:hint="eastAsia" w:ascii="宋体" w:hAnsi="宋体"/>
          <w:sz w:val="28"/>
        </w:rPr>
        <w:t>，防盗门。</w:t>
      </w:r>
      <w:r>
        <w:rPr>
          <w:rFonts w:hint="eastAsia" w:ascii="宋体" w:hAnsi="宋体"/>
          <w:sz w:val="28"/>
          <w:lang w:val="en-US" w:eastAsia="zh-CN"/>
        </w:rPr>
        <w:t>储藏室一个。</w:t>
      </w:r>
    </w:p>
    <w:p>
      <w:pPr>
        <w:pStyle w:val="4"/>
        <w:pageBreakBefore w:val="0"/>
        <w:widowControl w:val="0"/>
        <w:tabs>
          <w:tab w:val="center" w:pos="4437"/>
        </w:tabs>
        <w:kinsoku/>
        <w:wordWrap/>
        <w:overflowPunct/>
        <w:topLinePunct w:val="0"/>
        <w:autoSpaceDE/>
        <w:autoSpaceDN/>
        <w:bidi w:val="0"/>
        <w:adjustRightInd/>
        <w:snapToGrid/>
        <w:spacing w:line="480" w:lineRule="exact"/>
        <w:ind w:firstLine="562"/>
        <w:textAlignment w:val="auto"/>
        <w:rPr>
          <w:b/>
        </w:rPr>
      </w:pPr>
      <w:r>
        <w:rPr>
          <w:rFonts w:hint="eastAsia"/>
          <w:b/>
        </w:rPr>
        <w:t>（四）区位状况</w:t>
      </w:r>
    </w:p>
    <w:p>
      <w:pPr>
        <w:pStyle w:val="4"/>
        <w:pageBreakBefore w:val="0"/>
        <w:widowControl w:val="0"/>
        <w:tabs>
          <w:tab w:val="center" w:pos="4437"/>
        </w:tabs>
        <w:kinsoku/>
        <w:wordWrap/>
        <w:overflowPunct/>
        <w:topLinePunct w:val="0"/>
        <w:autoSpaceDE/>
        <w:autoSpaceDN/>
        <w:bidi w:val="0"/>
        <w:adjustRightInd/>
        <w:snapToGrid/>
        <w:spacing w:line="480" w:lineRule="exact"/>
        <w:textAlignment w:val="auto"/>
      </w:pPr>
      <w:r>
        <w:rPr>
          <w:rFonts w:hint="eastAsia"/>
        </w:rPr>
        <w:t>估价对象所处的地域位置：位于</w:t>
      </w:r>
      <w:r>
        <w:rPr>
          <w:rFonts w:hint="eastAsia"/>
          <w:lang w:val="en-US" w:eastAsia="zh-CN"/>
        </w:rPr>
        <w:t>晏婴路</w:t>
      </w:r>
      <w:r>
        <w:rPr>
          <w:rFonts w:hint="eastAsia"/>
          <w:lang w:eastAsia="zh-CN"/>
        </w:rPr>
        <w:t>以南，</w:t>
      </w:r>
      <w:r>
        <w:rPr>
          <w:rFonts w:hint="eastAsia"/>
          <w:lang w:val="en-US" w:eastAsia="zh-CN"/>
        </w:rPr>
        <w:t>桓公路</w:t>
      </w:r>
      <w:r>
        <w:rPr>
          <w:rFonts w:hint="eastAsia"/>
          <w:lang w:eastAsia="zh-CN"/>
        </w:rPr>
        <w:t>以北，杨坡路以</w:t>
      </w:r>
      <w:r>
        <w:rPr>
          <w:rFonts w:hint="eastAsia"/>
          <w:lang w:val="en-US" w:eastAsia="zh-CN"/>
        </w:rPr>
        <w:t>东</w:t>
      </w:r>
      <w:r>
        <w:rPr>
          <w:rFonts w:hint="eastAsia"/>
          <w:lang w:eastAsia="zh-CN"/>
        </w:rPr>
        <w:t>，</w:t>
      </w:r>
      <w:r>
        <w:rPr>
          <w:rFonts w:hint="eastAsia"/>
          <w:lang w:val="en-US" w:eastAsia="zh-CN"/>
        </w:rPr>
        <w:t>大顺</w:t>
      </w:r>
      <w:r>
        <w:rPr>
          <w:rFonts w:hint="eastAsia"/>
          <w:lang w:eastAsia="zh-CN"/>
        </w:rPr>
        <w:t>路以</w:t>
      </w:r>
      <w:r>
        <w:rPr>
          <w:rFonts w:hint="eastAsia"/>
          <w:lang w:val="en-US" w:eastAsia="zh-CN"/>
        </w:rPr>
        <w:t>西</w:t>
      </w:r>
      <w:r>
        <w:rPr>
          <w:rFonts w:hint="eastAsia"/>
        </w:rPr>
        <w:t>。估价对象所处地段为</w:t>
      </w:r>
      <w:r>
        <w:rPr>
          <w:rFonts w:hint="eastAsia"/>
          <w:lang w:eastAsia="zh-CN"/>
        </w:rPr>
        <w:t>临淄</w:t>
      </w:r>
      <w:r>
        <w:rPr>
          <w:rFonts w:hint="eastAsia"/>
        </w:rPr>
        <w:t>区较繁华地段，宗地内的设施条件具备七通一平，即通路、通电、通讯、通上水、通下水、通暖、通气，公用设施齐全、完备，区域内基础设施良好，市政设施齐全，各设施条件对该宗地无不良影响。宗地的利用情况较为良好，无不良闲置，规划限制也符合</w:t>
      </w:r>
      <w:r>
        <w:rPr>
          <w:rFonts w:hint="eastAsia"/>
          <w:lang w:eastAsia="zh-CN"/>
        </w:rPr>
        <w:t>临淄</w:t>
      </w:r>
      <w:r>
        <w:rPr>
          <w:rFonts w:hint="eastAsia"/>
        </w:rPr>
        <w:t>区内的规划条件。估价对象周边交通发达。地势平坦，地形规则，地质、水文状况及地貌良好，没有对该宗地有特殊影响的情况。宗地的周围是城区道路用地、</w:t>
      </w:r>
      <w:r>
        <w:rPr>
          <w:rFonts w:hint="eastAsia"/>
          <w:lang w:val="en-US" w:eastAsia="zh-CN"/>
        </w:rPr>
        <w:t>商业</w:t>
      </w:r>
      <w:r>
        <w:rPr>
          <w:rFonts w:hint="eastAsia"/>
        </w:rPr>
        <w:t>用地，周边有</w:t>
      </w:r>
      <w:r>
        <w:rPr>
          <w:rFonts w:hint="eastAsia"/>
          <w:lang w:val="en-US" w:eastAsia="zh-CN"/>
        </w:rPr>
        <w:t>大型商场</w:t>
      </w:r>
      <w:r>
        <w:rPr>
          <w:rFonts w:hint="eastAsia"/>
        </w:rPr>
        <w:t>、</w:t>
      </w:r>
      <w:r>
        <w:rPr>
          <w:rFonts w:hint="eastAsia"/>
          <w:lang w:val="en-US" w:eastAsia="zh-CN"/>
        </w:rPr>
        <w:t>饭店</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rPr>
          <w:rFonts w:hint="eastAsia" w:ascii="宋体" w:hAnsi="宋体"/>
          <w:sz w:val="28"/>
        </w:rPr>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spacing w:line="500" w:lineRule="exact"/>
        <w:ind w:firstLine="560" w:firstLineChars="200"/>
        <w:rPr>
          <w:rFonts w:hint="eastAsia" w:ascii="宋体" w:hAnsi="宋体"/>
          <w:sz w:val="28"/>
        </w:rPr>
      </w:pPr>
      <w:r>
        <w:rPr>
          <w:rFonts w:hint="eastAsia" w:ascii="宋体" w:hAnsi="宋体"/>
          <w:sz w:val="28"/>
        </w:rPr>
        <w:t>据房产超市网数据中心统计显示，从2017年1月份至今，淄博主城区新房均价已连续12个月出现上涨，涨幅高达34.6%，平均一平涨了2308.7元，其中房价波动幅度较大的时间集中在9-10月份，而这两个月也是淄博拍地高峰期，地王频繁易主，高地价给淄博房企打了一剂强心剂，致使淄博房价一路狂飙。</w:t>
      </w:r>
    </w:p>
    <w:p>
      <w:pPr>
        <w:spacing w:line="500" w:lineRule="exact"/>
        <w:ind w:firstLine="560" w:firstLineChars="200"/>
        <w:rPr>
          <w:rFonts w:hint="eastAsia" w:ascii="宋体" w:hAnsi="宋体"/>
          <w:sz w:val="28"/>
        </w:rPr>
      </w:pPr>
      <w:r>
        <w:rPr>
          <w:rFonts w:hint="eastAsia" w:ascii="宋体" w:hAnsi="宋体"/>
          <w:sz w:val="28"/>
          <w:lang w:val="en-US" w:eastAsia="zh-CN"/>
        </w:rPr>
        <w:t>2</w:t>
      </w:r>
      <w:r>
        <w:rPr>
          <w:rFonts w:hint="eastAsia" w:ascii="宋体" w:hAnsi="宋体"/>
          <w:sz w:val="28"/>
        </w:rPr>
        <w:t>017的淄博楼市注定是不寻常的一年，在“房住不</w:t>
      </w:r>
      <w:r>
        <w:rPr>
          <w:rFonts w:hint="eastAsia" w:ascii="宋体" w:hAnsi="宋体"/>
          <w:sz w:val="28"/>
          <w:lang w:eastAsia="zh-CN"/>
        </w:rPr>
        <w:t>炒</w:t>
      </w:r>
      <w:r>
        <w:rPr>
          <w:rFonts w:hint="eastAsia" w:ascii="宋体" w:hAnsi="宋体"/>
          <w:sz w:val="28"/>
        </w:rPr>
        <w:t>”这一具有重大变革意义的国家定位指导思想引领下</w:t>
      </w:r>
      <w:r>
        <w:rPr>
          <w:rFonts w:hint="eastAsia" w:ascii="宋体" w:hAnsi="宋体"/>
          <w:sz w:val="28"/>
          <w:lang w:eastAsia="zh-CN"/>
        </w:rPr>
        <w:t>，</w:t>
      </w:r>
      <w:r>
        <w:rPr>
          <w:rFonts w:hint="eastAsia" w:ascii="宋体" w:hAnsi="宋体"/>
          <w:sz w:val="28"/>
          <w:lang w:val="en-US" w:eastAsia="zh-CN"/>
        </w:rPr>
        <w:t>淄博</w:t>
      </w:r>
      <w:r>
        <w:rPr>
          <w:rFonts w:hint="eastAsia" w:ascii="宋体" w:hAnsi="宋体"/>
          <w:sz w:val="28"/>
        </w:rPr>
        <w:t>楼</w:t>
      </w:r>
      <w:r>
        <w:rPr>
          <w:rFonts w:hint="eastAsia" w:ascii="宋体" w:hAnsi="宋体"/>
          <w:sz w:val="28"/>
          <w:lang w:val="en-US" w:eastAsia="zh-CN"/>
        </w:rPr>
        <w:t>价一定会得到有效的控制</w:t>
      </w:r>
      <w:r>
        <w:rPr>
          <w:rFonts w:hint="eastAsia" w:ascii="宋体" w:hAnsi="宋体"/>
          <w:sz w:val="28"/>
        </w:rPr>
        <w:t>。</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2018年5月30日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、产权、产籍证明复印件</w:t>
      </w:r>
    </w:p>
    <w:p>
      <w:pPr>
        <w:spacing w:line="500" w:lineRule="exact"/>
        <w:ind w:firstLine="570"/>
        <w:rPr>
          <w:rFonts w:ascii="宋体"/>
          <w:sz w:val="28"/>
        </w:rPr>
      </w:pPr>
      <w:r>
        <w:rPr>
          <w:rFonts w:ascii="宋体" w:hAnsi="宋体"/>
          <w:sz w:val="28"/>
        </w:rPr>
        <w:t>2</w:t>
      </w:r>
      <w:r>
        <w:rPr>
          <w:rFonts w:hint="eastAsia" w:ascii="宋体" w:hAnsi="宋体"/>
          <w:sz w:val="28"/>
        </w:rPr>
        <w:t>、</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（2018）鲁0305估44号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pageBreakBefore w:val="0"/>
        <w:widowControl w:val="0"/>
        <w:kinsoku/>
        <w:wordWrap/>
        <w:overflowPunct/>
        <w:topLinePunct w:val="0"/>
        <w:autoSpaceDE/>
        <w:autoSpaceDN/>
        <w:bidi w:val="0"/>
        <w:adjustRightInd/>
        <w:snapToGrid/>
        <w:spacing w:line="530" w:lineRule="exact"/>
        <w:ind w:firstLine="570"/>
        <w:textAlignment w:val="auto"/>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pageBreakBefore w:val="0"/>
        <w:widowControl w:val="0"/>
        <w:kinsoku/>
        <w:wordWrap/>
        <w:overflowPunct/>
        <w:topLinePunct w:val="0"/>
        <w:autoSpaceDE/>
        <w:autoSpaceDN/>
        <w:bidi w:val="0"/>
        <w:adjustRightInd/>
        <w:snapToGrid/>
        <w:spacing w:line="530" w:lineRule="exact"/>
        <w:ind w:firstLine="570"/>
        <w:textAlignment w:val="auto"/>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pageBreakBefore w:val="0"/>
        <w:widowControl w:val="0"/>
        <w:kinsoku/>
        <w:wordWrap/>
        <w:overflowPunct/>
        <w:topLinePunct w:val="0"/>
        <w:autoSpaceDE/>
        <w:autoSpaceDN/>
        <w:bidi w:val="0"/>
        <w:adjustRightInd/>
        <w:snapToGrid/>
        <w:spacing w:line="530" w:lineRule="exact"/>
        <w:ind w:firstLine="570"/>
        <w:textAlignment w:val="auto"/>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pageBreakBefore w:val="0"/>
        <w:widowControl w:val="0"/>
        <w:kinsoku/>
        <w:wordWrap/>
        <w:overflowPunct/>
        <w:topLinePunct w:val="0"/>
        <w:autoSpaceDE/>
        <w:autoSpaceDN/>
        <w:bidi w:val="0"/>
        <w:adjustRightInd/>
        <w:snapToGrid/>
        <w:spacing w:before="0" w:after="0" w:line="530" w:lineRule="exact"/>
        <w:ind w:firstLine="562" w:firstLineChars="200"/>
        <w:textAlignment w:val="auto"/>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pageBreakBefore w:val="0"/>
        <w:widowControl w:val="0"/>
        <w:kinsoku/>
        <w:wordWrap/>
        <w:overflowPunct/>
        <w:topLinePunct w:val="0"/>
        <w:autoSpaceDE/>
        <w:autoSpaceDN/>
        <w:bidi w:val="0"/>
        <w:adjustRightInd/>
        <w:snapToGrid/>
        <w:spacing w:line="530" w:lineRule="exact"/>
        <w:ind w:firstLine="570"/>
        <w:textAlignment w:val="auto"/>
        <w:rPr>
          <w:rFonts w:ascii="宋体"/>
          <w:b/>
          <w:sz w:val="28"/>
        </w:rPr>
      </w:pPr>
      <w:r>
        <w:rPr>
          <w:rFonts w:hint="eastAsia" w:ascii="宋体" w:hAnsi="宋体"/>
          <w:b/>
          <w:sz w:val="28"/>
        </w:rPr>
        <w:t>（一）选择估价方法</w:t>
      </w:r>
    </w:p>
    <w:p>
      <w:pPr>
        <w:pageBreakBefore w:val="0"/>
        <w:widowControl w:val="0"/>
        <w:kinsoku/>
        <w:wordWrap/>
        <w:overflowPunct/>
        <w:topLinePunct w:val="0"/>
        <w:autoSpaceDE/>
        <w:autoSpaceDN/>
        <w:bidi w:val="0"/>
        <w:adjustRightInd/>
        <w:snapToGrid/>
        <w:spacing w:line="530" w:lineRule="exact"/>
        <w:ind w:firstLine="573"/>
        <w:textAlignment w:val="auto"/>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pageBreakBefore w:val="0"/>
        <w:widowControl w:val="0"/>
        <w:kinsoku/>
        <w:wordWrap/>
        <w:overflowPunct/>
        <w:topLinePunct w:val="0"/>
        <w:autoSpaceDE/>
        <w:autoSpaceDN/>
        <w:bidi w:val="0"/>
        <w:adjustRightInd/>
        <w:snapToGrid/>
        <w:spacing w:line="530" w:lineRule="exact"/>
        <w:ind w:firstLine="560" w:firstLineChars="200"/>
        <w:textAlignment w:val="auto"/>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pageBreakBefore w:val="0"/>
        <w:widowControl w:val="0"/>
        <w:kinsoku/>
        <w:wordWrap/>
        <w:overflowPunct/>
        <w:topLinePunct w:val="0"/>
        <w:autoSpaceDE/>
        <w:autoSpaceDN/>
        <w:bidi w:val="0"/>
        <w:adjustRightInd/>
        <w:snapToGrid/>
        <w:spacing w:line="480" w:lineRule="exact"/>
        <w:ind w:firstLine="570"/>
        <w:textAlignment w:val="auto"/>
        <w:rPr>
          <w:rFonts w:ascii="宋体"/>
          <w:b/>
          <w:sz w:val="28"/>
        </w:rPr>
      </w:pPr>
      <w:r>
        <w:rPr>
          <w:rFonts w:hint="eastAsia" w:ascii="宋体" w:hAnsi="宋体"/>
          <w:b/>
          <w:sz w:val="28"/>
        </w:rPr>
        <w:t>（二）估价思路</w:t>
      </w:r>
    </w:p>
    <w:p>
      <w:pPr>
        <w:pageBreakBefore w:val="0"/>
        <w:widowControl w:val="0"/>
        <w:tabs>
          <w:tab w:val="left" w:pos="1290"/>
        </w:tabs>
        <w:kinsoku/>
        <w:wordWrap/>
        <w:overflowPunct/>
        <w:topLinePunct w:val="0"/>
        <w:autoSpaceDE/>
        <w:autoSpaceDN/>
        <w:bidi w:val="0"/>
        <w:adjustRightInd/>
        <w:snapToGrid/>
        <w:spacing w:line="480" w:lineRule="exact"/>
        <w:ind w:firstLine="560" w:firstLineChars="200"/>
        <w:textAlignment w:val="auto"/>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pageBreakBefore w:val="0"/>
        <w:widowControl w:val="0"/>
        <w:kinsoku/>
        <w:wordWrap/>
        <w:overflowPunct/>
        <w:topLinePunct w:val="0"/>
        <w:autoSpaceDE/>
        <w:autoSpaceDN/>
        <w:bidi w:val="0"/>
        <w:adjustRightInd/>
        <w:snapToGrid/>
        <w:spacing w:before="0" w:after="0" w:line="480" w:lineRule="exact"/>
        <w:ind w:firstLine="562" w:firstLineChars="200"/>
        <w:textAlignment w:val="auto"/>
        <w:rPr>
          <w:rFonts w:ascii="黑体" w:hAnsi="宋体" w:eastAsia="黑体"/>
          <w:b w:val="0"/>
          <w:bCs w:val="0"/>
          <w:sz w:val="28"/>
        </w:rPr>
      </w:pPr>
      <w:bookmarkStart w:id="13" w:name="_Toc463797148"/>
      <w:r>
        <w:rPr>
          <w:rFonts w:hint="eastAsia" w:ascii="黑体" w:hAnsi="宋体" w:eastAsia="黑体"/>
          <w:sz w:val="28"/>
        </w:rPr>
        <w:t>十、估价结果</w:t>
      </w:r>
      <w:bookmarkEnd w:id="13"/>
    </w:p>
    <w:p>
      <w:pPr>
        <w:pageBreakBefore w:val="0"/>
        <w:widowControl w:val="0"/>
        <w:tabs>
          <w:tab w:val="left" w:pos="1290"/>
        </w:tabs>
        <w:kinsoku/>
        <w:wordWrap/>
        <w:overflowPunct/>
        <w:topLinePunct w:val="0"/>
        <w:autoSpaceDE/>
        <w:autoSpaceDN/>
        <w:bidi w:val="0"/>
        <w:adjustRightInd/>
        <w:snapToGrid/>
        <w:spacing w:line="480" w:lineRule="exact"/>
        <w:ind w:firstLine="560" w:firstLineChars="200"/>
        <w:textAlignment w:val="auto"/>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临淄区单家新村30号楼1单元5层东户</w:t>
      </w:r>
      <w:r>
        <w:rPr>
          <w:rFonts w:hint="eastAsia" w:ascii="宋体" w:hAnsi="宋体"/>
          <w:sz w:val="28"/>
        </w:rPr>
        <w:t>。根据《产权、产籍证明》</w:t>
      </w:r>
      <w:r>
        <w:rPr>
          <w:rFonts w:ascii="宋体" w:hAnsi="宋体"/>
          <w:sz w:val="28"/>
        </w:rPr>
        <w:t>:</w:t>
      </w:r>
      <w:r>
        <w:rPr>
          <w:rFonts w:hint="eastAsia" w:ascii="宋体" w:hAnsi="宋体"/>
          <w:sz w:val="28"/>
        </w:rPr>
        <w:t>估价对象产权人为</w:t>
      </w:r>
      <w:r>
        <w:rPr>
          <w:rFonts w:hint="eastAsia" w:ascii="宋体" w:hAnsi="宋体"/>
          <w:sz w:val="28"/>
          <w:lang w:eastAsia="zh-CN"/>
        </w:rPr>
        <w:t>李永建</w:t>
      </w:r>
      <w:r>
        <w:rPr>
          <w:rFonts w:hint="eastAsia" w:ascii="宋体" w:hAnsi="宋体"/>
          <w:sz w:val="28"/>
        </w:rPr>
        <w:t>，</w:t>
      </w:r>
      <w:r>
        <w:rPr>
          <w:rFonts w:hint="eastAsia" w:ascii="宋体" w:hAnsi="宋体"/>
          <w:sz w:val="28"/>
          <w:lang w:eastAsia="zh-CN"/>
        </w:rPr>
        <w:t>共同所有人：李蒙</w:t>
      </w:r>
      <w:r>
        <w:rPr>
          <w:rFonts w:hint="eastAsia" w:ascii="宋体" w:hAnsi="宋体"/>
          <w:sz w:val="28"/>
        </w:rPr>
        <w:t>；产权证号：</w:t>
      </w:r>
      <w:r>
        <w:rPr>
          <w:rFonts w:hint="eastAsia" w:ascii="宋体" w:hAnsi="宋体"/>
          <w:sz w:val="28"/>
          <w:lang w:eastAsia="zh-CN"/>
        </w:rPr>
        <w:t>07-1057660</w:t>
      </w:r>
      <w:r>
        <w:rPr>
          <w:rFonts w:hint="eastAsia" w:ascii="宋体" w:hAnsi="宋体"/>
          <w:sz w:val="28"/>
        </w:rPr>
        <w:t>，建筑面积为</w:t>
      </w:r>
      <w:r>
        <w:rPr>
          <w:rFonts w:hint="eastAsia" w:ascii="宋体" w:hAnsi="宋体"/>
          <w:sz w:val="28"/>
          <w:lang w:eastAsia="zh-CN"/>
        </w:rPr>
        <w:t>113.01</w:t>
      </w:r>
      <w:r>
        <w:rPr>
          <w:rFonts w:hint="eastAsia" w:ascii="宋体" w:hAnsi="宋体"/>
          <w:sz w:val="28"/>
        </w:rPr>
        <w:t>㎡。在价值时点</w:t>
      </w:r>
      <w:bookmarkStart w:id="19" w:name="_GoBack"/>
      <w:bookmarkEnd w:id="19"/>
      <w:r>
        <w:rPr>
          <w:rFonts w:hint="eastAsia" w:ascii="宋体" w:hAnsi="宋体"/>
          <w:sz w:val="28"/>
          <w:lang w:eastAsia="zh-CN"/>
        </w:rPr>
        <w:t>2018年5月30日</w:t>
      </w:r>
      <w:r>
        <w:rPr>
          <w:rFonts w:hint="eastAsia" w:ascii="宋体" w:hAnsi="宋体"/>
          <w:sz w:val="28"/>
        </w:rPr>
        <w:t>估价对象房地产</w:t>
      </w:r>
      <w:r>
        <w:rPr>
          <w:rFonts w:hint="eastAsia" w:ascii="宋体" w:hAnsi="宋体"/>
          <w:sz w:val="28"/>
          <w:lang w:eastAsia="zh-CN"/>
        </w:rPr>
        <w:t>（</w:t>
      </w:r>
      <w:r>
        <w:rPr>
          <w:rFonts w:hint="eastAsia" w:ascii="宋体" w:hAnsi="宋体"/>
          <w:sz w:val="28"/>
          <w:lang w:val="en-US" w:eastAsia="zh-CN"/>
        </w:rPr>
        <w:t>含储藏室一个</w:t>
      </w:r>
      <w:r>
        <w:rPr>
          <w:rFonts w:hint="eastAsia" w:ascii="宋体" w:hAnsi="宋体"/>
          <w:sz w:val="28"/>
          <w:lang w:eastAsia="zh-CN"/>
        </w:rPr>
        <w:t>）</w:t>
      </w:r>
      <w:r>
        <w:rPr>
          <w:rFonts w:hint="eastAsia" w:ascii="宋体" w:hAnsi="宋体"/>
          <w:sz w:val="28"/>
        </w:rPr>
        <w:t>的市场价评估总值为</w:t>
      </w:r>
      <w:r>
        <w:rPr>
          <w:rFonts w:hint="eastAsia" w:ascii="宋体" w:hAnsi="宋体"/>
          <w:b/>
          <w:sz w:val="28"/>
          <w:lang w:eastAsia="zh-CN"/>
        </w:rPr>
        <w:t>86.76</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捌拾陆万柒仟陆佰元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7677.20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hAnsi="宋体"/>
          <w:sz w:val="28"/>
          <w:szCs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2018年6月8日</w:t>
      </w:r>
    </w:p>
    <w:p>
      <w:pPr>
        <w:spacing w:line="500" w:lineRule="exact"/>
        <w:rPr>
          <w:rFonts w:hint="eastAsia" w:ascii="宋体" w:hAnsi="宋体"/>
          <w:sz w:val="28"/>
          <w:szCs w:val="28"/>
          <w:lang w:eastAsia="zh-CN"/>
        </w:rPr>
      </w:pP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2018年6月8日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ascii="宋体"/>
          <w:sz w:val="28"/>
          <w:szCs w:val="28"/>
        </w:rPr>
      </w:pPr>
      <w:r>
        <w:rPr>
          <w:rFonts w:ascii="黑体" w:eastAsia="黑体"/>
        </w:rPr>
        <w:t xml:space="preserve">    </w:t>
      </w:r>
      <w:r>
        <w:rPr>
          <w:rFonts w:hint="eastAsia" w:ascii="宋体" w:hAnsi="宋体" w:eastAsia="黑体"/>
          <w:sz w:val="28"/>
          <w:szCs w:val="28"/>
          <w:lang w:eastAsia="zh-CN"/>
        </w:rPr>
        <w:t>2018年5月30日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lang w:eastAsia="zh-CN"/>
        </w:rPr>
        <w:t>2018年5月30日</w:t>
      </w:r>
      <w:r>
        <w:rPr>
          <w:rFonts w:hint="eastAsia" w:ascii="宋体" w:hAnsi="宋体"/>
          <w:sz w:val="28"/>
        </w:rPr>
        <w:t>至</w:t>
      </w:r>
      <w:r>
        <w:rPr>
          <w:rFonts w:hint="eastAsia" w:ascii="宋体" w:hAnsi="宋体"/>
          <w:sz w:val="28"/>
          <w:lang w:eastAsia="zh-CN"/>
        </w:rPr>
        <w:t>2018年6月8日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2018年5月30日</w:t>
      </w:r>
      <w:r>
        <w:rPr>
          <w:rFonts w:hint="eastAsia" w:ascii="宋体" w:hAnsi="宋体"/>
          <w:sz w:val="28"/>
        </w:rPr>
        <w:t>起至</w:t>
      </w:r>
      <w:r>
        <w:rPr>
          <w:rFonts w:hint="eastAsia" w:ascii="宋体" w:hAnsi="宋体"/>
          <w:sz w:val="28"/>
          <w:lang w:eastAsia="zh-CN"/>
        </w:rPr>
        <w:t>2019年5月29日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ascii="宋体"/>
          <w:sz w:val="28"/>
        </w:rPr>
      </w:pPr>
      <w:r>
        <w:rPr>
          <w:rFonts w:hint="eastAsia" w:ascii="宋体" w:hAnsi="宋体"/>
          <w:sz w:val="28"/>
        </w:rPr>
        <w:t>（一）</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（2018）鲁0305估44号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（四）《产权、产籍证明》复印件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lang w:eastAsia="zh-CN"/>
      </w:rPr>
      <w:t>临淄区</w:t>
    </w:r>
    <w:r>
      <w:rPr>
        <w:rFonts w:hint="eastAsia"/>
      </w:rPr>
      <w:t>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3EC54BE"/>
    <w:rsid w:val="061700CF"/>
    <w:rsid w:val="06187C8D"/>
    <w:rsid w:val="062D7C32"/>
    <w:rsid w:val="06840641"/>
    <w:rsid w:val="08FA104A"/>
    <w:rsid w:val="095B7DEA"/>
    <w:rsid w:val="09675BE4"/>
    <w:rsid w:val="09E92ED1"/>
    <w:rsid w:val="0F8F6198"/>
    <w:rsid w:val="11EC4876"/>
    <w:rsid w:val="1524581A"/>
    <w:rsid w:val="18ED6749"/>
    <w:rsid w:val="19AD58A0"/>
    <w:rsid w:val="1A7B7158"/>
    <w:rsid w:val="1A9C7638"/>
    <w:rsid w:val="1C037E84"/>
    <w:rsid w:val="202B0253"/>
    <w:rsid w:val="236E03B0"/>
    <w:rsid w:val="245D2237"/>
    <w:rsid w:val="24683E4B"/>
    <w:rsid w:val="2481760A"/>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6555F6F"/>
    <w:rsid w:val="570F6AE4"/>
    <w:rsid w:val="57335A1F"/>
    <w:rsid w:val="61813705"/>
    <w:rsid w:val="62BA44F0"/>
    <w:rsid w:val="63E044E9"/>
    <w:rsid w:val="648B6992"/>
    <w:rsid w:val="65D61184"/>
    <w:rsid w:val="673E3331"/>
    <w:rsid w:val="68AB31C8"/>
    <w:rsid w:val="6C3B50DF"/>
    <w:rsid w:val="6CD43218"/>
    <w:rsid w:val="6CEF420E"/>
    <w:rsid w:val="6D9C696B"/>
    <w:rsid w:val="6E03170B"/>
    <w:rsid w:val="72F90EAF"/>
    <w:rsid w:val="75C4518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106</TotalTime>
  <ScaleCrop>false</ScaleCrop>
  <LinksUpToDate>false</LinksUpToDate>
  <CharactersWithSpaces>8528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18791</cp:lastModifiedBy>
  <cp:lastPrinted>2018-06-08T06:55:33Z</cp:lastPrinted>
  <dcterms:modified xsi:type="dcterms:W3CDTF">2018-06-08T07:00:05Z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